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81" w:rsidRPr="00455981" w:rsidRDefault="00EC5998" w:rsidP="00455981">
      <w:pPr>
        <w:jc w:val="right"/>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-251460</wp:posOffset>
            </wp:positionV>
            <wp:extent cx="2978785" cy="1292860"/>
            <wp:effectExtent l="19050" t="0" r="0" b="0"/>
            <wp:wrapSquare wrapText="bothSides"/>
            <wp:docPr id="1" name="Picture 1" descr="C:\Users\Ronald\Downloads\Logo_Platform_2016_gro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Downloads\Logo_Platform_2016_groot (1).jpg"/>
                    <pic:cNvPicPr>
                      <a:picLocks noChangeAspect="1" noChangeArrowheads="1"/>
                    </pic:cNvPicPr>
                  </pic:nvPicPr>
                  <pic:blipFill>
                    <a:blip r:embed="rId8"/>
                    <a:srcRect/>
                    <a:stretch>
                      <a:fillRect/>
                    </a:stretch>
                  </pic:blipFill>
                  <pic:spPr bwMode="auto">
                    <a:xfrm>
                      <a:off x="0" y="0"/>
                      <a:ext cx="2978785" cy="1292860"/>
                    </a:xfrm>
                    <a:prstGeom prst="rect">
                      <a:avLst/>
                    </a:prstGeom>
                    <a:noFill/>
                    <a:ln w="9525">
                      <a:noFill/>
                      <a:miter lim="800000"/>
                      <a:headEnd/>
                      <a:tailEnd/>
                    </a:ln>
                  </pic:spPr>
                </pic:pic>
              </a:graphicData>
            </a:graphic>
          </wp:anchor>
        </w:drawing>
      </w:r>
      <w:r w:rsidR="00455981" w:rsidRPr="00455981">
        <w:rPr>
          <w:rFonts w:ascii="Times New Roman" w:hAnsi="Times New Roman" w:cs="Times New Roman"/>
        </w:rPr>
        <w:t xml:space="preserve">Platform Burgerrechten </w:t>
      </w:r>
      <w:r w:rsidR="00455981">
        <w:rPr>
          <w:rFonts w:ascii="Times New Roman" w:hAnsi="Times New Roman" w:cs="Times New Roman"/>
        </w:rPr>
        <w:br/>
      </w:r>
      <w:r w:rsidR="00455981" w:rsidRPr="00455981">
        <w:rPr>
          <w:rFonts w:ascii="Times New Roman" w:hAnsi="Times New Roman" w:cs="Times New Roman"/>
        </w:rPr>
        <w:t xml:space="preserve">Ambonplein 73 </w:t>
      </w:r>
      <w:r>
        <w:rPr>
          <w:rFonts w:ascii="Times New Roman" w:hAnsi="Times New Roman" w:cs="Times New Roman"/>
        </w:rPr>
        <w:br/>
      </w:r>
      <w:r w:rsidR="00455981" w:rsidRPr="00455981">
        <w:rPr>
          <w:rFonts w:ascii="Times New Roman" w:hAnsi="Times New Roman" w:cs="Times New Roman"/>
        </w:rPr>
        <w:t xml:space="preserve">1094 PW Amsterdam </w:t>
      </w:r>
    </w:p>
    <w:p w:rsidR="00455981" w:rsidRDefault="00455981" w:rsidP="004E5DE6">
      <w:pPr>
        <w:jc w:val="both"/>
        <w:rPr>
          <w:rFonts w:ascii="Times New Roman" w:hAnsi="Times New Roman" w:cs="Times New Roman"/>
        </w:rPr>
      </w:pPr>
    </w:p>
    <w:p w:rsidR="00455981" w:rsidRDefault="003D37A7" w:rsidP="00455981">
      <w:pPr>
        <w:rPr>
          <w:rFonts w:ascii="Times New Roman" w:hAnsi="Times New Roman" w:cs="Times New Roman"/>
        </w:rPr>
      </w:pPr>
      <w:r>
        <w:rPr>
          <w:rFonts w:ascii="Times New Roman" w:hAnsi="Times New Roman" w:cs="Times New Roman"/>
        </w:rPr>
        <w:br/>
      </w:r>
      <w:r w:rsidR="00455981" w:rsidRPr="00455981">
        <w:rPr>
          <w:rFonts w:ascii="Times New Roman" w:hAnsi="Times New Roman" w:cs="Times New Roman"/>
        </w:rPr>
        <w:t xml:space="preserve">Eerste Kamer der Staten-Generaal </w:t>
      </w:r>
      <w:r w:rsidR="00E0420A">
        <w:rPr>
          <w:rFonts w:ascii="Times New Roman" w:hAnsi="Times New Roman" w:cs="Times New Roman"/>
        </w:rPr>
        <w:br/>
        <w:t>Vaste commissie voor Justitie en Veiligheid</w:t>
      </w:r>
      <w:r w:rsidR="00455981" w:rsidRPr="00455981">
        <w:rPr>
          <w:rFonts w:ascii="Times New Roman" w:hAnsi="Times New Roman" w:cs="Times New Roman"/>
        </w:rPr>
        <w:br/>
        <w:t xml:space="preserve">Per email: </w:t>
      </w:r>
      <w:hyperlink r:id="rId9" w:history="1">
        <w:r w:rsidR="00455981" w:rsidRPr="00E61B7C">
          <w:rPr>
            <w:rStyle w:val="Hyperlink"/>
            <w:rFonts w:ascii="Times New Roman" w:hAnsi="Times New Roman" w:cs="Times New Roman"/>
          </w:rPr>
          <w:t>postbus@eerstekamer.nl</w:t>
        </w:r>
      </w:hyperlink>
    </w:p>
    <w:p w:rsidR="00455981" w:rsidRDefault="00455981" w:rsidP="00455981">
      <w:pPr>
        <w:rPr>
          <w:rFonts w:ascii="Times New Roman" w:hAnsi="Times New Roman" w:cs="Times New Roman"/>
        </w:rPr>
      </w:pPr>
      <w:r w:rsidRPr="00455981">
        <w:rPr>
          <w:rFonts w:ascii="Times New Roman" w:hAnsi="Times New Roman" w:cs="Times New Roman"/>
        </w:rPr>
        <w:t>Betreft: Behandeling voorstel Wet Gegevensverwerking door Samenwerkingsverbanden</w:t>
      </w:r>
    </w:p>
    <w:p w:rsidR="00455981" w:rsidRPr="00455981" w:rsidRDefault="00455981" w:rsidP="00455981">
      <w:pPr>
        <w:jc w:val="right"/>
        <w:rPr>
          <w:rFonts w:ascii="Times New Roman" w:hAnsi="Times New Roman" w:cs="Times New Roman"/>
        </w:rPr>
      </w:pPr>
      <w:r w:rsidRPr="00455981">
        <w:rPr>
          <w:rFonts w:ascii="Times New Roman" w:hAnsi="Times New Roman" w:cs="Times New Roman"/>
        </w:rPr>
        <w:t xml:space="preserve">Amsterdam, </w:t>
      </w:r>
      <w:r w:rsidR="00C66F92">
        <w:rPr>
          <w:rFonts w:ascii="Times New Roman" w:hAnsi="Times New Roman" w:cs="Times New Roman"/>
        </w:rPr>
        <w:t>9</w:t>
      </w:r>
      <w:r w:rsidRPr="00455981">
        <w:rPr>
          <w:rFonts w:ascii="Times New Roman" w:hAnsi="Times New Roman" w:cs="Times New Roman"/>
        </w:rPr>
        <w:t xml:space="preserve"> december 2021</w:t>
      </w:r>
    </w:p>
    <w:p w:rsidR="00C1475C" w:rsidRPr="006C18EE" w:rsidRDefault="00C1475C" w:rsidP="004E5DE6">
      <w:pPr>
        <w:jc w:val="both"/>
        <w:rPr>
          <w:rFonts w:ascii="Times New Roman" w:hAnsi="Times New Roman" w:cs="Times New Roman"/>
        </w:rPr>
      </w:pPr>
      <w:r w:rsidRPr="006C18EE">
        <w:rPr>
          <w:rFonts w:ascii="Times New Roman" w:hAnsi="Times New Roman" w:cs="Times New Roman"/>
        </w:rPr>
        <w:t xml:space="preserve">Geachte leden van de Eerste Kamer, </w:t>
      </w:r>
    </w:p>
    <w:p w:rsidR="00B26686" w:rsidRPr="006C18EE" w:rsidRDefault="001C6B97" w:rsidP="004E5DE6">
      <w:pPr>
        <w:jc w:val="both"/>
        <w:rPr>
          <w:rFonts w:ascii="Times New Roman" w:hAnsi="Times New Roman" w:cs="Times New Roman"/>
        </w:rPr>
      </w:pPr>
      <w:r w:rsidRPr="006C18EE">
        <w:rPr>
          <w:rFonts w:ascii="Times New Roman" w:hAnsi="Times New Roman" w:cs="Times New Roman"/>
        </w:rPr>
        <w:t>Het Platform Burgerrechten schrijft u aan wegens de behandeling van het wetsvoorstel Gegevensverwerking door Samenwerkingsverbanden</w:t>
      </w:r>
      <w:r w:rsidR="00A73052" w:rsidRPr="006C18EE">
        <w:rPr>
          <w:rFonts w:ascii="Times New Roman" w:hAnsi="Times New Roman" w:cs="Times New Roman"/>
        </w:rPr>
        <w:t xml:space="preserve"> (</w:t>
      </w:r>
      <w:r w:rsidR="00A73052" w:rsidRPr="006C18EE">
        <w:rPr>
          <w:rStyle w:val="Strong"/>
          <w:rFonts w:ascii="Times New Roman" w:hAnsi="Times New Roman" w:cs="Times New Roman"/>
          <w:b w:val="0"/>
          <w:color w:val="0A0A0A"/>
          <w:shd w:val="clear" w:color="auto" w:fill="FEFEFE"/>
        </w:rPr>
        <w:t>35.447)</w:t>
      </w:r>
      <w:r w:rsidRPr="006C18EE">
        <w:rPr>
          <w:rFonts w:ascii="Times New Roman" w:hAnsi="Times New Roman" w:cs="Times New Roman"/>
        </w:rPr>
        <w:t xml:space="preserve">, waarover u </w:t>
      </w:r>
      <w:r w:rsidR="00971FBF" w:rsidRPr="006C18EE">
        <w:rPr>
          <w:rFonts w:ascii="Times New Roman" w:hAnsi="Times New Roman" w:cs="Times New Roman"/>
        </w:rPr>
        <w:t>inmiddels</w:t>
      </w:r>
      <w:r w:rsidRPr="006C18EE">
        <w:rPr>
          <w:rFonts w:ascii="Times New Roman" w:hAnsi="Times New Roman" w:cs="Times New Roman"/>
        </w:rPr>
        <w:t xml:space="preserve"> het advies van de Afdeling advisering van de Raad van State </w:t>
      </w:r>
      <w:r w:rsidR="00BF1615" w:rsidRPr="006C18EE">
        <w:rPr>
          <w:rFonts w:ascii="Times New Roman" w:hAnsi="Times New Roman" w:cs="Times New Roman"/>
        </w:rPr>
        <w:t xml:space="preserve">(hierna: de Afdeling) </w:t>
      </w:r>
      <w:r w:rsidRPr="006C18EE">
        <w:rPr>
          <w:rFonts w:ascii="Times New Roman" w:hAnsi="Times New Roman" w:cs="Times New Roman"/>
        </w:rPr>
        <w:t>alsmede de Autoriteit Persoonsgegevens</w:t>
      </w:r>
      <w:r w:rsidR="00971FBF" w:rsidRPr="006C18EE">
        <w:rPr>
          <w:rFonts w:ascii="Times New Roman" w:hAnsi="Times New Roman" w:cs="Times New Roman"/>
        </w:rPr>
        <w:t xml:space="preserve"> (hierna: AP) en het College voor de Rechten van de Mens</w:t>
      </w:r>
      <w:r w:rsidRPr="006C18EE">
        <w:rPr>
          <w:rFonts w:ascii="Times New Roman" w:hAnsi="Times New Roman" w:cs="Times New Roman"/>
        </w:rPr>
        <w:t xml:space="preserve"> hebt ontvangen. </w:t>
      </w:r>
    </w:p>
    <w:p w:rsidR="001C6B97" w:rsidRPr="006C18EE" w:rsidRDefault="001C6B97" w:rsidP="004E5DE6">
      <w:pPr>
        <w:jc w:val="both"/>
        <w:rPr>
          <w:rFonts w:ascii="Times New Roman" w:hAnsi="Times New Roman" w:cs="Times New Roman"/>
        </w:rPr>
      </w:pPr>
      <w:r w:rsidRPr="006C18EE">
        <w:rPr>
          <w:rFonts w:ascii="Times New Roman" w:hAnsi="Times New Roman" w:cs="Times New Roman"/>
        </w:rPr>
        <w:t>Als organisatie die dit wetsvoorstel al volgt sinds het verschijnen van de eerste verkenningsrapport</w:t>
      </w:r>
      <w:r w:rsidR="00971FBF" w:rsidRPr="006C18EE">
        <w:rPr>
          <w:rFonts w:ascii="Times New Roman" w:hAnsi="Times New Roman" w:cs="Times New Roman"/>
        </w:rPr>
        <w:t>en</w:t>
      </w:r>
      <w:r w:rsidRPr="006C18EE">
        <w:rPr>
          <w:rFonts w:ascii="Times New Roman" w:hAnsi="Times New Roman" w:cs="Times New Roman"/>
        </w:rPr>
        <w:t xml:space="preserve">, </w:t>
      </w:r>
      <w:r w:rsidR="007D5B0D" w:rsidRPr="006C18EE">
        <w:rPr>
          <w:rFonts w:ascii="Times New Roman" w:hAnsi="Times New Roman" w:cs="Times New Roman"/>
        </w:rPr>
        <w:t xml:space="preserve">wijzen we u met klem op fundamentele tekortkomingen die dit </w:t>
      </w:r>
      <w:r w:rsidR="006D7AD6" w:rsidRPr="006C18EE">
        <w:rPr>
          <w:rFonts w:ascii="Times New Roman" w:hAnsi="Times New Roman" w:cs="Times New Roman"/>
        </w:rPr>
        <w:t>voorstel</w:t>
      </w:r>
      <w:r w:rsidR="007D5B0D" w:rsidRPr="006C18EE">
        <w:rPr>
          <w:rFonts w:ascii="Times New Roman" w:hAnsi="Times New Roman" w:cs="Times New Roman"/>
        </w:rPr>
        <w:t xml:space="preserve"> nog </w:t>
      </w:r>
      <w:r w:rsidR="005641AC" w:rsidRPr="006C18EE">
        <w:rPr>
          <w:rFonts w:ascii="Times New Roman" w:hAnsi="Times New Roman" w:cs="Times New Roman"/>
        </w:rPr>
        <w:t>altijd</w:t>
      </w:r>
      <w:r w:rsidR="007D5B0D" w:rsidRPr="006C18EE">
        <w:rPr>
          <w:rFonts w:ascii="Times New Roman" w:hAnsi="Times New Roman" w:cs="Times New Roman"/>
        </w:rPr>
        <w:t xml:space="preserve"> bevat.</w:t>
      </w:r>
      <w:r w:rsidR="00745693">
        <w:rPr>
          <w:rStyle w:val="FootnoteReference"/>
          <w:rFonts w:ascii="Times New Roman" w:hAnsi="Times New Roman" w:cs="Times New Roman"/>
        </w:rPr>
        <w:footnoteReference w:id="2"/>
      </w:r>
      <w:r w:rsidR="007D5B0D" w:rsidRPr="006C18EE">
        <w:rPr>
          <w:rFonts w:ascii="Times New Roman" w:hAnsi="Times New Roman" w:cs="Times New Roman"/>
        </w:rPr>
        <w:t xml:space="preserve"> In de visie van het Platform Burgerrechten staat u als wetgever op een splitsing van wegen, waarbij de route die in het advies van de </w:t>
      </w:r>
      <w:r w:rsidR="00C66F92">
        <w:rPr>
          <w:rFonts w:ascii="Times New Roman" w:hAnsi="Times New Roman" w:cs="Times New Roman"/>
        </w:rPr>
        <w:t>Raad van State wordt geopperd</w:t>
      </w:r>
      <w:r w:rsidR="006D7AD6" w:rsidRPr="006C18EE">
        <w:rPr>
          <w:rFonts w:ascii="Times New Roman" w:hAnsi="Times New Roman" w:cs="Times New Roman"/>
        </w:rPr>
        <w:t>,</w:t>
      </w:r>
      <w:r w:rsidR="00971FBF" w:rsidRPr="006C18EE">
        <w:rPr>
          <w:rFonts w:ascii="Times New Roman" w:hAnsi="Times New Roman" w:cs="Times New Roman"/>
        </w:rPr>
        <w:t xml:space="preserve"> leidt tot </w:t>
      </w:r>
      <w:r w:rsidR="000D3CDA">
        <w:rPr>
          <w:rFonts w:ascii="Times New Roman" w:hAnsi="Times New Roman" w:cs="Times New Roman"/>
        </w:rPr>
        <w:t>een verstoring van rechtsstatelijke verhoudingen</w:t>
      </w:r>
      <w:r w:rsidR="006D7AD6" w:rsidRPr="006C18EE">
        <w:rPr>
          <w:rFonts w:ascii="Times New Roman" w:hAnsi="Times New Roman" w:cs="Times New Roman"/>
        </w:rPr>
        <w:t>. Hieronder wordt uiteengezet waarom en zal een aantal aanbevelingen worden gedaan om</w:t>
      </w:r>
      <w:r w:rsidR="000D3CDA">
        <w:rPr>
          <w:rFonts w:ascii="Times New Roman" w:hAnsi="Times New Roman" w:cs="Times New Roman"/>
        </w:rPr>
        <w:t xml:space="preserve"> deze problematiek</w:t>
      </w:r>
      <w:r w:rsidR="006D7AD6" w:rsidRPr="006C18EE">
        <w:rPr>
          <w:rFonts w:ascii="Times New Roman" w:hAnsi="Times New Roman" w:cs="Times New Roman"/>
        </w:rPr>
        <w:t xml:space="preserve"> in de voortzetting van dit dossier</w:t>
      </w:r>
      <w:r w:rsidR="000D3CDA">
        <w:rPr>
          <w:rFonts w:ascii="Times New Roman" w:hAnsi="Times New Roman" w:cs="Times New Roman"/>
        </w:rPr>
        <w:t xml:space="preserve"> op te lossen</w:t>
      </w:r>
      <w:r w:rsidR="006D7AD6" w:rsidRPr="006C18EE">
        <w:rPr>
          <w:rFonts w:ascii="Times New Roman" w:hAnsi="Times New Roman" w:cs="Times New Roman"/>
        </w:rPr>
        <w:t xml:space="preserve">. </w:t>
      </w:r>
    </w:p>
    <w:p w:rsidR="005C5449" w:rsidRPr="006C18EE" w:rsidRDefault="004A766D" w:rsidP="004E5DE6">
      <w:pPr>
        <w:jc w:val="both"/>
        <w:rPr>
          <w:rFonts w:ascii="Times New Roman" w:hAnsi="Times New Roman" w:cs="Times New Roman"/>
        </w:rPr>
      </w:pPr>
      <w:r w:rsidRPr="006C18EE">
        <w:rPr>
          <w:rFonts w:ascii="Times New Roman" w:hAnsi="Times New Roman" w:cs="Times New Roman"/>
        </w:rPr>
        <w:t>De WGS ziet op samenwerkingsverbanden waarin gegevensver</w:t>
      </w:r>
      <w:r w:rsidR="00006BEB" w:rsidRPr="006C18EE">
        <w:rPr>
          <w:rFonts w:ascii="Times New Roman" w:hAnsi="Times New Roman" w:cs="Times New Roman"/>
        </w:rPr>
        <w:t xml:space="preserve">werkingen plaatsvinden die diep kunnen </w:t>
      </w:r>
      <w:r w:rsidRPr="006C18EE">
        <w:rPr>
          <w:rFonts w:ascii="Times New Roman" w:hAnsi="Times New Roman" w:cs="Times New Roman"/>
        </w:rPr>
        <w:t xml:space="preserve">ingrijpen op het privéleven van burgers. Vanuit het uitgangspunt van de verdeling van de machten ligt het voor de hand om </w:t>
      </w:r>
      <w:r w:rsidR="00B26686" w:rsidRPr="006C18EE">
        <w:rPr>
          <w:rFonts w:ascii="Times New Roman" w:hAnsi="Times New Roman" w:cs="Times New Roman"/>
        </w:rPr>
        <w:t>bevoegdheden</w:t>
      </w:r>
      <w:r w:rsidRPr="006C18EE">
        <w:rPr>
          <w:rFonts w:ascii="Times New Roman" w:hAnsi="Times New Roman" w:cs="Times New Roman"/>
        </w:rPr>
        <w:t xml:space="preserve"> die een systematische en grote inbreuk vormen op</w:t>
      </w:r>
      <w:r w:rsidR="008E642C" w:rsidRPr="006C18EE">
        <w:rPr>
          <w:rFonts w:ascii="Times New Roman" w:hAnsi="Times New Roman" w:cs="Times New Roman"/>
        </w:rPr>
        <w:t xml:space="preserve"> de </w:t>
      </w:r>
      <w:r w:rsidRPr="006C18EE">
        <w:rPr>
          <w:rFonts w:ascii="Times New Roman" w:hAnsi="Times New Roman" w:cs="Times New Roman"/>
        </w:rPr>
        <w:t xml:space="preserve">privacy en vrijheid van burgers, </w:t>
      </w:r>
      <w:r w:rsidRPr="000D3CDA">
        <w:rPr>
          <w:rFonts w:ascii="Times New Roman" w:hAnsi="Times New Roman" w:cs="Times New Roman"/>
        </w:rPr>
        <w:t>vast te leggen in formele</w:t>
      </w:r>
      <w:r w:rsidR="008E642C" w:rsidRPr="000D3CDA">
        <w:rPr>
          <w:rFonts w:ascii="Times New Roman" w:hAnsi="Times New Roman" w:cs="Times New Roman"/>
        </w:rPr>
        <w:t xml:space="preserve"> w</w:t>
      </w:r>
      <w:r w:rsidRPr="000D3CDA">
        <w:rPr>
          <w:rFonts w:ascii="Times New Roman" w:hAnsi="Times New Roman" w:cs="Times New Roman"/>
        </w:rPr>
        <w:t>etgeving</w:t>
      </w:r>
      <w:r w:rsidRPr="006C18EE">
        <w:rPr>
          <w:rFonts w:ascii="Times New Roman" w:hAnsi="Times New Roman" w:cs="Times New Roman"/>
        </w:rPr>
        <w:t xml:space="preserve">. De WGS is controversieel, omdat het de bevoegdheid om dergelijke samenwerkingsverbanden op te zetten delegeert </w:t>
      </w:r>
      <w:r w:rsidR="009E119B">
        <w:rPr>
          <w:rFonts w:ascii="Times New Roman" w:hAnsi="Times New Roman" w:cs="Times New Roman"/>
        </w:rPr>
        <w:t>aan het ministerie</w:t>
      </w:r>
      <w:r w:rsidR="00AB5CCC">
        <w:rPr>
          <w:rFonts w:ascii="Times New Roman" w:hAnsi="Times New Roman" w:cs="Times New Roman"/>
        </w:rPr>
        <w:t xml:space="preserve"> middels lagere wetgeving</w:t>
      </w:r>
      <w:r w:rsidR="009E119B">
        <w:rPr>
          <w:rFonts w:ascii="Times New Roman" w:hAnsi="Times New Roman" w:cs="Times New Roman"/>
        </w:rPr>
        <w:t>.</w:t>
      </w:r>
    </w:p>
    <w:p w:rsidR="006048AA" w:rsidRPr="006C18EE" w:rsidRDefault="006048AA" w:rsidP="004E5DE6">
      <w:pPr>
        <w:jc w:val="both"/>
        <w:rPr>
          <w:rFonts w:ascii="Times New Roman" w:hAnsi="Times New Roman" w:cs="Times New Roman"/>
          <w:b/>
        </w:rPr>
      </w:pPr>
      <w:r w:rsidRPr="006C18EE">
        <w:rPr>
          <w:rFonts w:ascii="Times New Roman" w:hAnsi="Times New Roman" w:cs="Times New Roman"/>
          <w:b/>
        </w:rPr>
        <w:t>Sein op rood</w:t>
      </w:r>
    </w:p>
    <w:p w:rsidR="000F2EDF" w:rsidRPr="006C18EE" w:rsidRDefault="004A766D" w:rsidP="004E5DE6">
      <w:pPr>
        <w:jc w:val="both"/>
        <w:rPr>
          <w:rFonts w:ascii="Times New Roman" w:hAnsi="Times New Roman" w:cs="Times New Roman"/>
        </w:rPr>
      </w:pPr>
      <w:r w:rsidRPr="006C18EE">
        <w:rPr>
          <w:rFonts w:ascii="Times New Roman" w:hAnsi="Times New Roman" w:cs="Times New Roman"/>
        </w:rPr>
        <w:t xml:space="preserve">Het eerste advies van de </w:t>
      </w:r>
      <w:r w:rsidR="00600542" w:rsidRPr="006C18EE">
        <w:rPr>
          <w:rFonts w:ascii="Times New Roman" w:hAnsi="Times New Roman" w:cs="Times New Roman"/>
        </w:rPr>
        <w:t xml:space="preserve">Afdeling </w:t>
      </w:r>
      <w:r w:rsidR="001F02F0" w:rsidRPr="006C18EE">
        <w:rPr>
          <w:rFonts w:ascii="Times New Roman" w:hAnsi="Times New Roman" w:cs="Times New Roman"/>
        </w:rPr>
        <w:t>van 21 november 2019</w:t>
      </w:r>
      <w:r w:rsidRPr="006C18EE">
        <w:rPr>
          <w:rFonts w:ascii="Times New Roman" w:hAnsi="Times New Roman" w:cs="Times New Roman"/>
        </w:rPr>
        <w:t xml:space="preserve"> luidde ondubbelzinnig dat de WGS een overtreding van artikel 10</w:t>
      </w:r>
      <w:r w:rsidR="008E642C" w:rsidRPr="006C18EE">
        <w:rPr>
          <w:rFonts w:ascii="Times New Roman" w:hAnsi="Times New Roman" w:cs="Times New Roman"/>
        </w:rPr>
        <w:t xml:space="preserve"> van de Grondwet </w:t>
      </w:r>
      <w:r w:rsidRPr="006C18EE">
        <w:rPr>
          <w:rFonts w:ascii="Times New Roman" w:hAnsi="Times New Roman" w:cs="Times New Roman"/>
        </w:rPr>
        <w:t xml:space="preserve">inhield. De WGS stond ‘vergaande beperkingen van het recht op bescherming van de persoonlijke levenssfeer toe’, terwijl deze ‘tegelijkertijd niet de wezenlijke elementen en begrenzingen bevat’. De Afdeling </w:t>
      </w:r>
      <w:r w:rsidR="00971FBF" w:rsidRPr="006C18EE">
        <w:rPr>
          <w:rFonts w:ascii="Times New Roman" w:hAnsi="Times New Roman" w:cs="Times New Roman"/>
        </w:rPr>
        <w:t xml:space="preserve">liet er geen twijfel over bestaan dat het sein op rood stond en </w:t>
      </w:r>
      <w:r w:rsidRPr="006C18EE">
        <w:rPr>
          <w:rFonts w:ascii="Times New Roman" w:hAnsi="Times New Roman" w:cs="Times New Roman"/>
        </w:rPr>
        <w:t xml:space="preserve">stelde een fundamenteel andere benadering </w:t>
      </w:r>
      <w:r w:rsidR="00971FBF" w:rsidRPr="006C18EE">
        <w:rPr>
          <w:rFonts w:ascii="Times New Roman" w:hAnsi="Times New Roman" w:cs="Times New Roman"/>
        </w:rPr>
        <w:t>voor</w:t>
      </w:r>
      <w:r w:rsidRPr="006C18EE">
        <w:rPr>
          <w:rFonts w:ascii="Times New Roman" w:hAnsi="Times New Roman" w:cs="Times New Roman"/>
        </w:rPr>
        <w:t xml:space="preserve">. In plaats van een kaderwet stelde de RvS als eis </w:t>
      </w:r>
      <w:r w:rsidR="00995E1C">
        <w:rPr>
          <w:rFonts w:ascii="Times New Roman" w:hAnsi="Times New Roman" w:cs="Times New Roman"/>
        </w:rPr>
        <w:t xml:space="preserve">dat er </w:t>
      </w:r>
      <w:r w:rsidRPr="006C18EE">
        <w:rPr>
          <w:rFonts w:ascii="Times New Roman" w:hAnsi="Times New Roman" w:cs="Times New Roman"/>
        </w:rPr>
        <w:t>concrete</w:t>
      </w:r>
      <w:r w:rsidR="00B26686" w:rsidRPr="006C18EE">
        <w:rPr>
          <w:rFonts w:ascii="Times New Roman" w:hAnsi="Times New Roman" w:cs="Times New Roman"/>
        </w:rPr>
        <w:t>, doelgebonden</w:t>
      </w:r>
      <w:r w:rsidR="009E119B">
        <w:rPr>
          <w:rFonts w:ascii="Times New Roman" w:hAnsi="Times New Roman" w:cs="Times New Roman"/>
        </w:rPr>
        <w:t xml:space="preserve">, </w:t>
      </w:r>
      <w:r w:rsidR="00B26686" w:rsidRPr="006C18EE">
        <w:rPr>
          <w:rFonts w:ascii="Times New Roman" w:hAnsi="Times New Roman" w:cs="Times New Roman"/>
        </w:rPr>
        <w:t>domein</w:t>
      </w:r>
      <w:r w:rsidRPr="006C18EE">
        <w:rPr>
          <w:rFonts w:ascii="Times New Roman" w:hAnsi="Times New Roman" w:cs="Times New Roman"/>
        </w:rPr>
        <w:t>specifieke samenwerkingsverbanden</w:t>
      </w:r>
      <w:r w:rsidR="00B26686" w:rsidRPr="006C18EE">
        <w:rPr>
          <w:rFonts w:ascii="Times New Roman" w:hAnsi="Times New Roman" w:cs="Times New Roman"/>
        </w:rPr>
        <w:t xml:space="preserve"> op het niveau van de formele wet</w:t>
      </w:r>
      <w:r w:rsidR="00995E1C">
        <w:rPr>
          <w:rFonts w:ascii="Times New Roman" w:hAnsi="Times New Roman" w:cs="Times New Roman"/>
        </w:rPr>
        <w:t xml:space="preserve"> werden vastgesteld</w:t>
      </w:r>
      <w:r w:rsidRPr="006C18EE">
        <w:rPr>
          <w:rFonts w:ascii="Times New Roman" w:hAnsi="Times New Roman" w:cs="Times New Roman"/>
        </w:rPr>
        <w:t>.</w:t>
      </w:r>
      <w:r w:rsidR="00995E1C">
        <w:rPr>
          <w:rFonts w:ascii="Times New Roman" w:hAnsi="Times New Roman" w:cs="Times New Roman"/>
        </w:rPr>
        <w:t xml:space="preserve"> Op deze wijze </w:t>
      </w:r>
      <w:r w:rsidR="00A555CD">
        <w:rPr>
          <w:rFonts w:ascii="Times New Roman" w:hAnsi="Times New Roman" w:cs="Times New Roman"/>
        </w:rPr>
        <w:t xml:space="preserve">wordt </w:t>
      </w:r>
      <w:r w:rsidR="000D3CDA">
        <w:rPr>
          <w:rFonts w:ascii="Times New Roman" w:hAnsi="Times New Roman" w:cs="Times New Roman"/>
        </w:rPr>
        <w:t xml:space="preserve">het parlement als medewetgever </w:t>
      </w:r>
      <w:r w:rsidR="007C529C">
        <w:rPr>
          <w:rFonts w:ascii="Times New Roman" w:hAnsi="Times New Roman" w:cs="Times New Roman"/>
        </w:rPr>
        <w:t>en als</w:t>
      </w:r>
      <w:r w:rsidR="000D3CDA">
        <w:rPr>
          <w:rFonts w:ascii="Times New Roman" w:hAnsi="Times New Roman" w:cs="Times New Roman"/>
        </w:rPr>
        <w:t xml:space="preserve"> controlerende macht</w:t>
      </w:r>
      <w:r w:rsidR="00995E1C">
        <w:rPr>
          <w:rFonts w:ascii="Times New Roman" w:hAnsi="Times New Roman" w:cs="Times New Roman"/>
        </w:rPr>
        <w:t xml:space="preserve"> niet uitgesloten van het wetgevingsproces. </w:t>
      </w:r>
    </w:p>
    <w:p w:rsidR="00FB0061" w:rsidRPr="006C18EE" w:rsidRDefault="006048AA" w:rsidP="004E5DE6">
      <w:pPr>
        <w:jc w:val="both"/>
        <w:rPr>
          <w:rFonts w:ascii="Times New Roman" w:hAnsi="Times New Roman" w:cs="Times New Roman"/>
        </w:rPr>
      </w:pPr>
      <w:r w:rsidRPr="006C18EE">
        <w:rPr>
          <w:rFonts w:ascii="Times New Roman" w:hAnsi="Times New Roman" w:cs="Times New Roman"/>
        </w:rPr>
        <w:t>Na dit advies</w:t>
      </w:r>
      <w:r w:rsidR="00A555CD">
        <w:rPr>
          <w:rFonts w:ascii="Times New Roman" w:hAnsi="Times New Roman" w:cs="Times New Roman"/>
        </w:rPr>
        <w:t xml:space="preserve"> </w:t>
      </w:r>
      <w:r w:rsidRPr="006C18EE">
        <w:rPr>
          <w:rFonts w:ascii="Times New Roman" w:hAnsi="Times New Roman" w:cs="Times New Roman"/>
        </w:rPr>
        <w:t xml:space="preserve">ging de regering met haar </w:t>
      </w:r>
      <w:r w:rsidR="004A766D" w:rsidRPr="006C18EE">
        <w:rPr>
          <w:rFonts w:ascii="Times New Roman" w:hAnsi="Times New Roman" w:cs="Times New Roman"/>
        </w:rPr>
        <w:t>huiswerk aan de slag</w:t>
      </w:r>
      <w:r w:rsidR="00971FBF" w:rsidRPr="006C18EE">
        <w:rPr>
          <w:rFonts w:ascii="Times New Roman" w:hAnsi="Times New Roman" w:cs="Times New Roman"/>
        </w:rPr>
        <w:t xml:space="preserve"> en diende na een half jaar een gewijzigd wetsvoorstel in</w:t>
      </w:r>
      <w:r w:rsidR="004A766D" w:rsidRPr="006C18EE">
        <w:rPr>
          <w:rFonts w:ascii="Times New Roman" w:hAnsi="Times New Roman" w:cs="Times New Roman"/>
        </w:rPr>
        <w:t xml:space="preserve">. </w:t>
      </w:r>
      <w:r w:rsidR="00971FBF" w:rsidRPr="006C18EE">
        <w:rPr>
          <w:rFonts w:ascii="Times New Roman" w:hAnsi="Times New Roman" w:cs="Times New Roman"/>
        </w:rPr>
        <w:t>In</w:t>
      </w:r>
      <w:r w:rsidR="004A766D" w:rsidRPr="006C18EE">
        <w:rPr>
          <w:rFonts w:ascii="Times New Roman" w:hAnsi="Times New Roman" w:cs="Times New Roman"/>
        </w:rPr>
        <w:t xml:space="preserve"> plaats van het advies van de </w:t>
      </w:r>
      <w:r w:rsidR="005C5449" w:rsidRPr="006C18EE">
        <w:rPr>
          <w:rFonts w:ascii="Times New Roman" w:hAnsi="Times New Roman" w:cs="Times New Roman"/>
        </w:rPr>
        <w:t>Afdeling</w:t>
      </w:r>
      <w:r w:rsidR="004A766D" w:rsidRPr="006C18EE">
        <w:rPr>
          <w:rFonts w:ascii="Times New Roman" w:hAnsi="Times New Roman" w:cs="Times New Roman"/>
        </w:rPr>
        <w:t xml:space="preserve"> op te volgen</w:t>
      </w:r>
      <w:r w:rsidR="001F02F0" w:rsidRPr="006C18EE">
        <w:rPr>
          <w:rFonts w:ascii="Times New Roman" w:hAnsi="Times New Roman" w:cs="Times New Roman"/>
        </w:rPr>
        <w:t>,</w:t>
      </w:r>
      <w:r w:rsidR="001C6B97" w:rsidRPr="006C18EE">
        <w:rPr>
          <w:rFonts w:ascii="Times New Roman" w:hAnsi="Times New Roman" w:cs="Times New Roman"/>
        </w:rPr>
        <w:t xml:space="preserve"> stond in het nieuwe </w:t>
      </w:r>
      <w:r w:rsidR="002625DE">
        <w:rPr>
          <w:rFonts w:ascii="Times New Roman" w:hAnsi="Times New Roman" w:cs="Times New Roman"/>
        </w:rPr>
        <w:t xml:space="preserve">voorstel nog steeds een </w:t>
      </w:r>
      <w:r w:rsidR="004A766D" w:rsidRPr="006C18EE">
        <w:rPr>
          <w:rFonts w:ascii="Times New Roman" w:hAnsi="Times New Roman" w:cs="Times New Roman"/>
        </w:rPr>
        <w:t>kaderwet met nog ruimere mogelijkheden om gegevens ook buiten de</w:t>
      </w:r>
      <w:r w:rsidR="000D3CDA">
        <w:rPr>
          <w:rFonts w:ascii="Times New Roman" w:hAnsi="Times New Roman" w:cs="Times New Roman"/>
        </w:rPr>
        <w:t xml:space="preserve"> </w:t>
      </w:r>
      <w:r w:rsidR="001F02F0" w:rsidRPr="006C18EE">
        <w:rPr>
          <w:rFonts w:ascii="Times New Roman" w:hAnsi="Times New Roman" w:cs="Times New Roman"/>
        </w:rPr>
        <w:t>benoemde</w:t>
      </w:r>
      <w:r w:rsidR="000D3CDA">
        <w:rPr>
          <w:rFonts w:ascii="Times New Roman" w:hAnsi="Times New Roman" w:cs="Times New Roman"/>
        </w:rPr>
        <w:t xml:space="preserve"> </w:t>
      </w:r>
      <w:r w:rsidR="004A766D" w:rsidRPr="006C18EE">
        <w:rPr>
          <w:rFonts w:ascii="Times New Roman" w:hAnsi="Times New Roman" w:cs="Times New Roman"/>
        </w:rPr>
        <w:lastRenderedPageBreak/>
        <w:t>samenwerkingsverbanden</w:t>
      </w:r>
      <w:r w:rsidR="001F02F0" w:rsidRPr="006C18EE">
        <w:rPr>
          <w:rFonts w:ascii="Times New Roman" w:hAnsi="Times New Roman" w:cs="Times New Roman"/>
        </w:rPr>
        <w:t xml:space="preserve"> te delen.</w:t>
      </w:r>
      <w:r w:rsidR="00FB0061" w:rsidRPr="006C18EE">
        <w:rPr>
          <w:rStyle w:val="FootnoteReference"/>
          <w:rFonts w:ascii="Times New Roman" w:hAnsi="Times New Roman" w:cs="Times New Roman"/>
        </w:rPr>
        <w:footnoteReference w:id="3"/>
      </w:r>
      <w:r w:rsidR="001F02F0" w:rsidRPr="006C18EE">
        <w:rPr>
          <w:rFonts w:ascii="Times New Roman" w:hAnsi="Times New Roman" w:cs="Times New Roman"/>
        </w:rPr>
        <w:t xml:space="preserve"> Daarnaast</w:t>
      </w:r>
      <w:r w:rsidR="00A555CD">
        <w:rPr>
          <w:rFonts w:ascii="Times New Roman" w:hAnsi="Times New Roman" w:cs="Times New Roman"/>
        </w:rPr>
        <w:t xml:space="preserve"> </w:t>
      </w:r>
      <w:r w:rsidR="001F02F0" w:rsidRPr="006C18EE">
        <w:rPr>
          <w:rFonts w:ascii="Times New Roman" w:hAnsi="Times New Roman" w:cs="Times New Roman"/>
        </w:rPr>
        <w:t xml:space="preserve">werden aan het voorstel </w:t>
      </w:r>
      <w:r w:rsidR="004A766D" w:rsidRPr="006C18EE">
        <w:rPr>
          <w:rFonts w:ascii="Times New Roman" w:hAnsi="Times New Roman" w:cs="Times New Roman"/>
        </w:rPr>
        <w:t xml:space="preserve">vier samenwerkingsverbanden toegevoegd. In feite </w:t>
      </w:r>
      <w:r w:rsidR="00525072" w:rsidRPr="006C18EE">
        <w:rPr>
          <w:rFonts w:ascii="Times New Roman" w:hAnsi="Times New Roman" w:cs="Times New Roman"/>
        </w:rPr>
        <w:t>is</w:t>
      </w:r>
      <w:r w:rsidR="00A555CD">
        <w:rPr>
          <w:rFonts w:ascii="Times New Roman" w:hAnsi="Times New Roman" w:cs="Times New Roman"/>
        </w:rPr>
        <w:t xml:space="preserve"> </w:t>
      </w:r>
      <w:r w:rsidR="00FB02DB" w:rsidRPr="006C18EE">
        <w:rPr>
          <w:rFonts w:ascii="Times New Roman" w:hAnsi="Times New Roman" w:cs="Times New Roman"/>
        </w:rPr>
        <w:t>het</w:t>
      </w:r>
      <w:r w:rsidR="00A555CD">
        <w:rPr>
          <w:rFonts w:ascii="Times New Roman" w:hAnsi="Times New Roman" w:cs="Times New Roman"/>
        </w:rPr>
        <w:t xml:space="preserve"> </w:t>
      </w:r>
      <w:r w:rsidR="004A766D" w:rsidRPr="006C18EE">
        <w:rPr>
          <w:rFonts w:ascii="Times New Roman" w:hAnsi="Times New Roman" w:cs="Times New Roman"/>
        </w:rPr>
        <w:t>nieuwe</w:t>
      </w:r>
      <w:r w:rsidR="00530007">
        <w:rPr>
          <w:rFonts w:ascii="Times New Roman" w:hAnsi="Times New Roman" w:cs="Times New Roman"/>
        </w:rPr>
        <w:t xml:space="preserve"> </w:t>
      </w:r>
      <w:r w:rsidR="004A766D" w:rsidRPr="006C18EE">
        <w:rPr>
          <w:rFonts w:ascii="Times New Roman" w:hAnsi="Times New Roman" w:cs="Times New Roman"/>
        </w:rPr>
        <w:t>wet</w:t>
      </w:r>
      <w:r w:rsidR="00FB02DB" w:rsidRPr="006C18EE">
        <w:rPr>
          <w:rFonts w:ascii="Times New Roman" w:hAnsi="Times New Roman" w:cs="Times New Roman"/>
        </w:rPr>
        <w:t>svoorstel</w:t>
      </w:r>
      <w:r w:rsidR="004A766D" w:rsidRPr="006C18EE">
        <w:rPr>
          <w:rFonts w:ascii="Times New Roman" w:hAnsi="Times New Roman" w:cs="Times New Roman"/>
        </w:rPr>
        <w:t xml:space="preserve"> een voortzetting van </w:t>
      </w:r>
      <w:r w:rsidR="00FB02DB" w:rsidRPr="006C18EE">
        <w:rPr>
          <w:rFonts w:ascii="Times New Roman" w:hAnsi="Times New Roman" w:cs="Times New Roman"/>
        </w:rPr>
        <w:t>het</w:t>
      </w:r>
      <w:r w:rsidRPr="006C18EE">
        <w:rPr>
          <w:rFonts w:ascii="Times New Roman" w:hAnsi="Times New Roman" w:cs="Times New Roman"/>
        </w:rPr>
        <w:t xml:space="preserve"> oude</w:t>
      </w:r>
      <w:r w:rsidR="00C75546" w:rsidRPr="006C18EE">
        <w:rPr>
          <w:rFonts w:ascii="Times New Roman" w:hAnsi="Times New Roman" w:cs="Times New Roman"/>
        </w:rPr>
        <w:t>,</w:t>
      </w:r>
      <w:r w:rsidR="004A766D" w:rsidRPr="006C18EE">
        <w:rPr>
          <w:rFonts w:ascii="Times New Roman" w:hAnsi="Times New Roman" w:cs="Times New Roman"/>
        </w:rPr>
        <w:t xml:space="preserve"> plus vier samenwerkingsverbanden.</w:t>
      </w:r>
      <w:r w:rsidR="00B26686" w:rsidRPr="006C18EE">
        <w:rPr>
          <w:rStyle w:val="FootnoteReference"/>
          <w:rFonts w:ascii="Times New Roman" w:hAnsi="Times New Roman" w:cs="Times New Roman"/>
        </w:rPr>
        <w:footnoteReference w:id="4"/>
      </w:r>
    </w:p>
    <w:p w:rsidR="00525072" w:rsidRPr="006C18EE" w:rsidRDefault="004E5DE6" w:rsidP="004E5DE6">
      <w:pPr>
        <w:jc w:val="both"/>
        <w:rPr>
          <w:rFonts w:ascii="Times New Roman" w:hAnsi="Times New Roman" w:cs="Times New Roman"/>
        </w:rPr>
      </w:pPr>
      <w:r w:rsidRPr="006C18EE">
        <w:rPr>
          <w:rFonts w:ascii="Times New Roman" w:hAnsi="Times New Roman" w:cs="Times New Roman"/>
        </w:rPr>
        <w:t xml:space="preserve">Overigens wil het Platform benadrukken dat </w:t>
      </w:r>
      <w:r w:rsidR="00525072" w:rsidRPr="006C18EE">
        <w:rPr>
          <w:rFonts w:ascii="Times New Roman" w:hAnsi="Times New Roman" w:cs="Times New Roman"/>
        </w:rPr>
        <w:t>de ingrijpende bevoegdheden die</w:t>
      </w:r>
      <w:r w:rsidR="00A555CD">
        <w:rPr>
          <w:rFonts w:ascii="Times New Roman" w:hAnsi="Times New Roman" w:cs="Times New Roman"/>
        </w:rPr>
        <w:t xml:space="preserve"> </w:t>
      </w:r>
      <w:r w:rsidR="00455981">
        <w:rPr>
          <w:rFonts w:ascii="Times New Roman" w:hAnsi="Times New Roman" w:cs="Times New Roman"/>
        </w:rPr>
        <w:t xml:space="preserve">met </w:t>
      </w:r>
      <w:r w:rsidR="00FB0061" w:rsidRPr="006C18EE">
        <w:rPr>
          <w:rFonts w:ascii="Times New Roman" w:hAnsi="Times New Roman" w:cs="Times New Roman"/>
        </w:rPr>
        <w:t xml:space="preserve">deze </w:t>
      </w:r>
      <w:r w:rsidR="000D3CDA">
        <w:rPr>
          <w:rFonts w:ascii="Times New Roman" w:hAnsi="Times New Roman" w:cs="Times New Roman"/>
        </w:rPr>
        <w:t xml:space="preserve">vier </w:t>
      </w:r>
      <w:r w:rsidR="00FB0061" w:rsidRPr="006C18EE">
        <w:rPr>
          <w:rFonts w:ascii="Times New Roman" w:hAnsi="Times New Roman" w:cs="Times New Roman"/>
        </w:rPr>
        <w:t xml:space="preserve">samenwerkingsverbanden </w:t>
      </w:r>
      <w:r w:rsidR="00455981">
        <w:rPr>
          <w:rFonts w:ascii="Times New Roman" w:hAnsi="Times New Roman" w:cs="Times New Roman"/>
        </w:rPr>
        <w:t>zijn toegevoegd</w:t>
      </w:r>
      <w:r w:rsidR="007C529C" w:rsidRPr="007C529C">
        <w:rPr>
          <w:rFonts w:ascii="Times New Roman" w:hAnsi="Times New Roman" w:cs="Times New Roman"/>
        </w:rPr>
        <w:t xml:space="preserve"> </w:t>
      </w:r>
      <w:r w:rsidR="007C529C">
        <w:rPr>
          <w:rFonts w:ascii="Times New Roman" w:hAnsi="Times New Roman" w:cs="Times New Roman"/>
        </w:rPr>
        <w:t>aan</w:t>
      </w:r>
      <w:r w:rsidR="007C529C" w:rsidRPr="006C18EE">
        <w:rPr>
          <w:rFonts w:ascii="Times New Roman" w:hAnsi="Times New Roman" w:cs="Times New Roman"/>
        </w:rPr>
        <w:t xml:space="preserve"> dit voorstel</w:t>
      </w:r>
      <w:r w:rsidR="00525072" w:rsidRPr="006C18EE">
        <w:rPr>
          <w:rFonts w:ascii="Times New Roman" w:hAnsi="Times New Roman" w:cs="Times New Roman"/>
        </w:rPr>
        <w:t xml:space="preserve">, vooralsnog </w:t>
      </w:r>
      <w:r w:rsidRPr="006C18EE">
        <w:rPr>
          <w:rFonts w:ascii="Times New Roman" w:hAnsi="Times New Roman" w:cs="Times New Roman"/>
        </w:rPr>
        <w:t xml:space="preserve">slechts summier </w:t>
      </w:r>
      <w:r w:rsidR="006048AA" w:rsidRPr="006C18EE">
        <w:rPr>
          <w:rFonts w:ascii="Times New Roman" w:hAnsi="Times New Roman" w:cs="Times New Roman"/>
        </w:rPr>
        <w:t>zijn behandeld</w:t>
      </w:r>
      <w:r w:rsidR="00FB0061" w:rsidRPr="006C18EE">
        <w:rPr>
          <w:rFonts w:ascii="Times New Roman" w:hAnsi="Times New Roman" w:cs="Times New Roman"/>
        </w:rPr>
        <w:t xml:space="preserve"> </w:t>
      </w:r>
      <w:r w:rsidR="007C529C">
        <w:rPr>
          <w:rFonts w:ascii="Times New Roman" w:hAnsi="Times New Roman" w:cs="Times New Roman"/>
        </w:rPr>
        <w:t>en uitgewerkt in voorliggende wetgeving</w:t>
      </w:r>
      <w:r w:rsidR="00FB0061" w:rsidRPr="006C18EE">
        <w:rPr>
          <w:rFonts w:ascii="Times New Roman" w:hAnsi="Times New Roman" w:cs="Times New Roman"/>
        </w:rPr>
        <w:t xml:space="preserve">. </w:t>
      </w:r>
      <w:r w:rsidR="005641AC" w:rsidRPr="006C18EE">
        <w:rPr>
          <w:rFonts w:ascii="Times New Roman" w:hAnsi="Times New Roman" w:cs="Times New Roman"/>
        </w:rPr>
        <w:t>Ook</w:t>
      </w:r>
      <w:r w:rsidR="006048AA" w:rsidRPr="006C18EE">
        <w:rPr>
          <w:rFonts w:ascii="Times New Roman" w:hAnsi="Times New Roman" w:cs="Times New Roman"/>
        </w:rPr>
        <w:t xml:space="preserve"> uitvoerende</w:t>
      </w:r>
      <w:r w:rsidR="005641AC" w:rsidRPr="006C18EE">
        <w:rPr>
          <w:rFonts w:ascii="Times New Roman" w:hAnsi="Times New Roman" w:cs="Times New Roman"/>
        </w:rPr>
        <w:t xml:space="preserve"> partijen gaven aan dat de</w:t>
      </w:r>
      <w:r w:rsidRPr="006C18EE">
        <w:rPr>
          <w:rFonts w:ascii="Times New Roman" w:hAnsi="Times New Roman" w:cs="Times New Roman"/>
        </w:rPr>
        <w:t>ze “onder stoom en kokend water” aan het voorstel zijn toegevoegd en dat de</w:t>
      </w:r>
      <w:r w:rsidR="005641AC" w:rsidRPr="006C18EE">
        <w:rPr>
          <w:rFonts w:ascii="Times New Roman" w:hAnsi="Times New Roman" w:cs="Times New Roman"/>
        </w:rPr>
        <w:t xml:space="preserve"> reactietermijn te kort was voor een grondige input.</w:t>
      </w:r>
      <w:r w:rsidR="00971FBF" w:rsidRPr="006C18EE">
        <w:rPr>
          <w:rStyle w:val="FootnoteReference"/>
          <w:rFonts w:ascii="Times New Roman" w:hAnsi="Times New Roman" w:cs="Times New Roman"/>
        </w:rPr>
        <w:footnoteReference w:id="5"/>
      </w:r>
      <w:r w:rsidR="00525072" w:rsidRPr="006C18EE">
        <w:rPr>
          <w:rFonts w:ascii="Times New Roman" w:hAnsi="Times New Roman" w:cs="Times New Roman"/>
        </w:rPr>
        <w:t xml:space="preserve"> In een eerdere brief aan de Tweede Kamer heef</w:t>
      </w:r>
      <w:r w:rsidRPr="006C18EE">
        <w:rPr>
          <w:rFonts w:ascii="Times New Roman" w:hAnsi="Times New Roman" w:cs="Times New Roman"/>
        </w:rPr>
        <w:t>t het Platform Burgerrechten er</w:t>
      </w:r>
      <w:r w:rsidR="00525072" w:rsidRPr="006C18EE">
        <w:rPr>
          <w:rFonts w:ascii="Times New Roman" w:hAnsi="Times New Roman" w:cs="Times New Roman"/>
        </w:rPr>
        <w:t xml:space="preserve">op gewezen dat deze </w:t>
      </w:r>
      <w:r w:rsidRPr="006C18EE">
        <w:rPr>
          <w:rFonts w:ascii="Times New Roman" w:hAnsi="Times New Roman" w:cs="Times New Roman"/>
        </w:rPr>
        <w:t xml:space="preserve">uitbreiding </w:t>
      </w:r>
      <w:r w:rsidR="00525072" w:rsidRPr="006C18EE">
        <w:rPr>
          <w:rFonts w:ascii="Times New Roman" w:hAnsi="Times New Roman" w:cs="Times New Roman"/>
        </w:rPr>
        <w:t>moet worden beschouwd als een vlucht naar voren</w:t>
      </w:r>
      <w:r w:rsidRPr="006C18EE">
        <w:rPr>
          <w:rFonts w:ascii="Times New Roman" w:hAnsi="Times New Roman" w:cs="Times New Roman"/>
        </w:rPr>
        <w:t xml:space="preserve"> die de zorgvuldigheid van het wetgevingsproces </w:t>
      </w:r>
      <w:r w:rsidR="007C529C">
        <w:rPr>
          <w:rFonts w:ascii="Times New Roman" w:hAnsi="Times New Roman" w:cs="Times New Roman"/>
        </w:rPr>
        <w:t xml:space="preserve">ernstig </w:t>
      </w:r>
      <w:r w:rsidRPr="006C18EE">
        <w:rPr>
          <w:rFonts w:ascii="Times New Roman" w:hAnsi="Times New Roman" w:cs="Times New Roman"/>
        </w:rPr>
        <w:t>belemmert. De uitbreiding kan geenszins worden beschouwd als</w:t>
      </w:r>
      <w:r w:rsidR="00525072" w:rsidRPr="006C18EE">
        <w:rPr>
          <w:rFonts w:ascii="Times New Roman" w:hAnsi="Times New Roman" w:cs="Times New Roman"/>
        </w:rPr>
        <w:t xml:space="preserve"> een oplossing voor de fundamentele kritiek op de kaderwet die nog steeds onderdeel is van dit voorstel.</w:t>
      </w:r>
      <w:r w:rsidR="001C6B97" w:rsidRPr="006C18EE">
        <w:rPr>
          <w:rStyle w:val="FootnoteReference"/>
          <w:rFonts w:ascii="Times New Roman" w:hAnsi="Times New Roman" w:cs="Times New Roman"/>
        </w:rPr>
        <w:footnoteReference w:id="6"/>
      </w:r>
    </w:p>
    <w:p w:rsidR="00FB02DB" w:rsidRPr="006C18EE" w:rsidRDefault="00C75546" w:rsidP="004E5DE6">
      <w:pPr>
        <w:jc w:val="both"/>
        <w:rPr>
          <w:rFonts w:ascii="Times New Roman" w:hAnsi="Times New Roman" w:cs="Times New Roman"/>
        </w:rPr>
      </w:pPr>
      <w:r w:rsidRPr="006C18EE">
        <w:rPr>
          <w:rFonts w:ascii="Times New Roman" w:hAnsi="Times New Roman" w:cs="Times New Roman"/>
        </w:rPr>
        <w:t>H</w:t>
      </w:r>
      <w:r w:rsidR="004A766D" w:rsidRPr="006C18EE">
        <w:rPr>
          <w:rFonts w:ascii="Times New Roman" w:hAnsi="Times New Roman" w:cs="Times New Roman"/>
        </w:rPr>
        <w:t xml:space="preserve">et verheugde ons daarom dat de Eerste Kamer </w:t>
      </w:r>
      <w:r w:rsidR="00305722" w:rsidRPr="006C18EE">
        <w:rPr>
          <w:rFonts w:ascii="Times New Roman" w:hAnsi="Times New Roman" w:cs="Times New Roman"/>
        </w:rPr>
        <w:t>opnieuw</w:t>
      </w:r>
      <w:r w:rsidR="004A766D" w:rsidRPr="006C18EE">
        <w:rPr>
          <w:rFonts w:ascii="Times New Roman" w:hAnsi="Times New Roman" w:cs="Times New Roman"/>
        </w:rPr>
        <w:t xml:space="preserve"> adviezen heeft gevraagd</w:t>
      </w:r>
      <w:r w:rsidR="00305722" w:rsidRPr="006C18EE">
        <w:rPr>
          <w:rFonts w:ascii="Times New Roman" w:hAnsi="Times New Roman" w:cs="Times New Roman"/>
        </w:rPr>
        <w:t xml:space="preserve"> over dit voorstel</w:t>
      </w:r>
      <w:r w:rsidR="004A766D" w:rsidRPr="006C18EE">
        <w:rPr>
          <w:rFonts w:ascii="Times New Roman" w:hAnsi="Times New Roman" w:cs="Times New Roman"/>
        </w:rPr>
        <w:t xml:space="preserve">. Aangezien de oorspronkelijke wet nagenoeg onveranderd in het nieuwe voorstel is opgenomen, lag het in de lijn van verwachting dat de AP zijn eerdere advies bekrachtigde. </w:t>
      </w:r>
      <w:r w:rsidR="00FB0061" w:rsidRPr="006C18EE">
        <w:rPr>
          <w:rFonts w:ascii="Times New Roman" w:hAnsi="Times New Roman" w:cs="Times New Roman"/>
        </w:rPr>
        <w:t xml:space="preserve">Dat deed </w:t>
      </w:r>
      <w:r w:rsidR="00995E1C">
        <w:rPr>
          <w:rFonts w:ascii="Times New Roman" w:hAnsi="Times New Roman" w:cs="Times New Roman"/>
        </w:rPr>
        <w:t>de AP</w:t>
      </w:r>
      <w:r w:rsidR="00A555CD">
        <w:rPr>
          <w:rFonts w:ascii="Times New Roman" w:hAnsi="Times New Roman" w:cs="Times New Roman"/>
        </w:rPr>
        <w:t xml:space="preserve"> </w:t>
      </w:r>
      <w:r w:rsidR="00FB0061" w:rsidRPr="006C18EE">
        <w:rPr>
          <w:rFonts w:ascii="Times New Roman" w:hAnsi="Times New Roman" w:cs="Times New Roman"/>
        </w:rPr>
        <w:t xml:space="preserve">dan ook in niet te misverstane woorden. </w:t>
      </w:r>
      <w:r w:rsidR="006048AA" w:rsidRPr="006C18EE">
        <w:rPr>
          <w:rFonts w:ascii="Times New Roman" w:hAnsi="Times New Roman" w:cs="Times New Roman"/>
        </w:rPr>
        <w:t xml:space="preserve">Ook het advies gevraagd aan het College voor de Rechten van de Mens laat er geen misverstand over bestaan dat meerdere rechtsstatelijke beginselen </w:t>
      </w:r>
      <w:r w:rsidR="00EC5998">
        <w:rPr>
          <w:rFonts w:ascii="Times New Roman" w:hAnsi="Times New Roman" w:cs="Times New Roman"/>
        </w:rPr>
        <w:t xml:space="preserve">ook </w:t>
      </w:r>
      <w:r w:rsidR="006048AA" w:rsidRPr="006C18EE">
        <w:rPr>
          <w:rFonts w:ascii="Times New Roman" w:hAnsi="Times New Roman" w:cs="Times New Roman"/>
        </w:rPr>
        <w:t xml:space="preserve">onder </w:t>
      </w:r>
      <w:r w:rsidR="00EC5998">
        <w:rPr>
          <w:rFonts w:ascii="Times New Roman" w:hAnsi="Times New Roman" w:cs="Times New Roman"/>
        </w:rPr>
        <w:t>het gewijzigde</w:t>
      </w:r>
      <w:r w:rsidR="006048AA" w:rsidRPr="006C18EE">
        <w:rPr>
          <w:rFonts w:ascii="Times New Roman" w:hAnsi="Times New Roman" w:cs="Times New Roman"/>
        </w:rPr>
        <w:t xml:space="preserve"> voorstel </w:t>
      </w:r>
      <w:r w:rsidR="00EC5998">
        <w:rPr>
          <w:rFonts w:ascii="Times New Roman" w:hAnsi="Times New Roman" w:cs="Times New Roman"/>
        </w:rPr>
        <w:t xml:space="preserve">nog steeds </w:t>
      </w:r>
      <w:r w:rsidR="006048AA" w:rsidRPr="006C18EE">
        <w:rPr>
          <w:rFonts w:ascii="Times New Roman" w:hAnsi="Times New Roman" w:cs="Times New Roman"/>
        </w:rPr>
        <w:t xml:space="preserve">op losse schroeven </w:t>
      </w:r>
      <w:r w:rsidR="000D3CDA">
        <w:rPr>
          <w:rFonts w:ascii="Times New Roman" w:hAnsi="Times New Roman" w:cs="Times New Roman"/>
        </w:rPr>
        <w:t xml:space="preserve">komen te </w:t>
      </w:r>
      <w:r w:rsidR="002625DE">
        <w:rPr>
          <w:rFonts w:ascii="Times New Roman" w:hAnsi="Times New Roman" w:cs="Times New Roman"/>
        </w:rPr>
        <w:t>staan.</w:t>
      </w:r>
    </w:p>
    <w:p w:rsidR="005641AC" w:rsidRPr="006C18EE" w:rsidRDefault="006048AA" w:rsidP="004E5DE6">
      <w:pPr>
        <w:jc w:val="both"/>
        <w:rPr>
          <w:rFonts w:ascii="Times New Roman" w:hAnsi="Times New Roman" w:cs="Times New Roman"/>
          <w:b/>
        </w:rPr>
      </w:pPr>
      <w:r w:rsidRPr="006C18EE">
        <w:rPr>
          <w:rFonts w:ascii="Times New Roman" w:hAnsi="Times New Roman" w:cs="Times New Roman"/>
          <w:b/>
        </w:rPr>
        <w:t>Raadselachtige</w:t>
      </w:r>
      <w:r w:rsidR="005641AC" w:rsidRPr="006C18EE">
        <w:rPr>
          <w:rFonts w:ascii="Times New Roman" w:hAnsi="Times New Roman" w:cs="Times New Roman"/>
          <w:b/>
        </w:rPr>
        <w:t xml:space="preserve"> draai</w:t>
      </w:r>
    </w:p>
    <w:p w:rsidR="000F2EDF" w:rsidRPr="006C18EE" w:rsidRDefault="004A766D" w:rsidP="004E5DE6">
      <w:pPr>
        <w:jc w:val="both"/>
        <w:rPr>
          <w:rFonts w:ascii="Times New Roman" w:hAnsi="Times New Roman" w:cs="Times New Roman"/>
        </w:rPr>
      </w:pPr>
      <w:r w:rsidRPr="006C18EE">
        <w:rPr>
          <w:rFonts w:ascii="Times New Roman" w:hAnsi="Times New Roman" w:cs="Times New Roman"/>
        </w:rPr>
        <w:t xml:space="preserve">De </w:t>
      </w:r>
      <w:r w:rsidR="00FB02DB" w:rsidRPr="006C18EE">
        <w:rPr>
          <w:rFonts w:ascii="Times New Roman" w:hAnsi="Times New Roman" w:cs="Times New Roman"/>
        </w:rPr>
        <w:t>Afdeling</w:t>
      </w:r>
      <w:r w:rsidRPr="006C18EE">
        <w:rPr>
          <w:rFonts w:ascii="Times New Roman" w:hAnsi="Times New Roman" w:cs="Times New Roman"/>
        </w:rPr>
        <w:t xml:space="preserve"> heeft tot onze verbazing echter een </w:t>
      </w:r>
      <w:r w:rsidR="005B4877" w:rsidRPr="006C18EE">
        <w:rPr>
          <w:rFonts w:ascii="Times New Roman" w:hAnsi="Times New Roman" w:cs="Times New Roman"/>
        </w:rPr>
        <w:t>raadselachtige</w:t>
      </w:r>
      <w:r w:rsidRPr="006C18EE">
        <w:rPr>
          <w:rFonts w:ascii="Times New Roman" w:hAnsi="Times New Roman" w:cs="Times New Roman"/>
        </w:rPr>
        <w:t xml:space="preserve"> draai gemaakt. </w:t>
      </w:r>
      <w:r w:rsidR="00FB02DB" w:rsidRPr="006C18EE">
        <w:rPr>
          <w:rFonts w:ascii="Times New Roman" w:hAnsi="Times New Roman" w:cs="Times New Roman"/>
        </w:rPr>
        <w:t xml:space="preserve">In haar meest recente advies </w:t>
      </w:r>
      <w:r w:rsidRPr="006C18EE">
        <w:rPr>
          <w:rFonts w:ascii="Times New Roman" w:hAnsi="Times New Roman" w:cs="Times New Roman"/>
        </w:rPr>
        <w:t xml:space="preserve">beweert </w:t>
      </w:r>
      <w:r w:rsidR="00FB02DB" w:rsidRPr="006C18EE">
        <w:rPr>
          <w:rFonts w:ascii="Times New Roman" w:hAnsi="Times New Roman" w:cs="Times New Roman"/>
        </w:rPr>
        <w:t xml:space="preserve">zij </w:t>
      </w:r>
      <w:r w:rsidRPr="006C18EE">
        <w:rPr>
          <w:rFonts w:ascii="Times New Roman" w:hAnsi="Times New Roman" w:cs="Times New Roman"/>
        </w:rPr>
        <w:t>dat ‘enkele belangrijke begrenzingen en waarborgen</w:t>
      </w:r>
      <w:r w:rsidR="00FB0061" w:rsidRPr="006C18EE">
        <w:rPr>
          <w:rFonts w:ascii="Times New Roman" w:hAnsi="Times New Roman" w:cs="Times New Roman"/>
        </w:rPr>
        <w:t>’</w:t>
      </w:r>
      <w:r w:rsidRPr="006C18EE">
        <w:rPr>
          <w:rFonts w:ascii="Times New Roman" w:hAnsi="Times New Roman" w:cs="Times New Roman"/>
        </w:rPr>
        <w:t xml:space="preserve"> in het wets</w:t>
      </w:r>
      <w:r w:rsidR="00FB0061" w:rsidRPr="006C18EE">
        <w:rPr>
          <w:rFonts w:ascii="Times New Roman" w:hAnsi="Times New Roman" w:cs="Times New Roman"/>
        </w:rPr>
        <w:t>voorstel</w:t>
      </w:r>
      <w:r w:rsidRPr="006C18EE">
        <w:rPr>
          <w:rFonts w:ascii="Times New Roman" w:hAnsi="Times New Roman" w:cs="Times New Roman"/>
        </w:rPr>
        <w:t xml:space="preserve"> zijn opgenomen. Hierdoor zou het voorstel alsnog voldoen aan artikel 10 </w:t>
      </w:r>
      <w:r w:rsidR="005B4877" w:rsidRPr="006C18EE">
        <w:rPr>
          <w:rFonts w:ascii="Times New Roman" w:hAnsi="Times New Roman" w:cs="Times New Roman"/>
        </w:rPr>
        <w:t>van de Grondwet</w:t>
      </w:r>
      <w:r w:rsidRPr="006C18EE">
        <w:rPr>
          <w:rFonts w:ascii="Times New Roman" w:hAnsi="Times New Roman" w:cs="Times New Roman"/>
        </w:rPr>
        <w:t xml:space="preserve">. Voor deze begrenzingen en waarborgen </w:t>
      </w:r>
      <w:r w:rsidR="005B4877" w:rsidRPr="006C18EE">
        <w:rPr>
          <w:rFonts w:ascii="Times New Roman" w:hAnsi="Times New Roman" w:cs="Times New Roman"/>
        </w:rPr>
        <w:t>wordt</w:t>
      </w:r>
      <w:r w:rsidRPr="006C18EE">
        <w:rPr>
          <w:rFonts w:ascii="Times New Roman" w:hAnsi="Times New Roman" w:cs="Times New Roman"/>
        </w:rPr>
        <w:t xml:space="preserve"> verwezen naar paragraaf 4 en 5, zoals verwoord in pagina 7 tot en met 17 </w:t>
      </w:r>
      <w:r w:rsidR="00A2016F" w:rsidRPr="006C18EE">
        <w:rPr>
          <w:rFonts w:ascii="Times New Roman" w:hAnsi="Times New Roman" w:cs="Times New Roman"/>
        </w:rPr>
        <w:t>van het advies</w:t>
      </w:r>
      <w:r w:rsidRPr="006C18EE">
        <w:rPr>
          <w:rFonts w:ascii="Times New Roman" w:hAnsi="Times New Roman" w:cs="Times New Roman"/>
        </w:rPr>
        <w:t xml:space="preserve">. Het Platform </w:t>
      </w:r>
      <w:r w:rsidR="005B4877" w:rsidRPr="006C18EE">
        <w:rPr>
          <w:rFonts w:ascii="Times New Roman" w:hAnsi="Times New Roman" w:cs="Times New Roman"/>
        </w:rPr>
        <w:t xml:space="preserve">kan </w:t>
      </w:r>
      <w:r w:rsidRPr="006C18EE">
        <w:rPr>
          <w:rFonts w:ascii="Times New Roman" w:hAnsi="Times New Roman" w:cs="Times New Roman"/>
        </w:rPr>
        <w:t xml:space="preserve">zich </w:t>
      </w:r>
      <w:r w:rsidR="000D3CDA">
        <w:rPr>
          <w:rFonts w:ascii="Times New Roman" w:hAnsi="Times New Roman" w:cs="Times New Roman"/>
        </w:rPr>
        <w:t xml:space="preserve">na lezing van dit advies </w:t>
      </w:r>
      <w:r w:rsidRPr="006C18EE">
        <w:rPr>
          <w:rFonts w:ascii="Times New Roman" w:hAnsi="Times New Roman" w:cs="Times New Roman"/>
        </w:rPr>
        <w:t xml:space="preserve">moeilijk aan de indruk onttrekken dat de </w:t>
      </w:r>
      <w:r w:rsidR="00FB02DB" w:rsidRPr="006C18EE">
        <w:rPr>
          <w:rFonts w:ascii="Times New Roman" w:hAnsi="Times New Roman" w:cs="Times New Roman"/>
        </w:rPr>
        <w:t>Afdeling</w:t>
      </w:r>
      <w:r w:rsidRPr="006C18EE">
        <w:rPr>
          <w:rFonts w:ascii="Times New Roman" w:hAnsi="Times New Roman" w:cs="Times New Roman"/>
        </w:rPr>
        <w:t xml:space="preserve"> zelf niet langer staat voor de bescherming van de hoogste standaarden waar </w:t>
      </w:r>
      <w:r w:rsidR="00D95D6C" w:rsidRPr="006C18EE">
        <w:rPr>
          <w:rFonts w:ascii="Times New Roman" w:hAnsi="Times New Roman" w:cs="Times New Roman"/>
        </w:rPr>
        <w:t>het gaat om fundamentele vrijhe</w:t>
      </w:r>
      <w:r w:rsidRPr="006C18EE">
        <w:rPr>
          <w:rFonts w:ascii="Times New Roman" w:hAnsi="Times New Roman" w:cs="Times New Roman"/>
        </w:rPr>
        <w:t>de</w:t>
      </w:r>
      <w:r w:rsidR="00FB02DB" w:rsidRPr="006C18EE">
        <w:rPr>
          <w:rFonts w:ascii="Times New Roman" w:hAnsi="Times New Roman" w:cs="Times New Roman"/>
        </w:rPr>
        <w:t>n van burgers zoal</w:t>
      </w:r>
      <w:r w:rsidRPr="006C18EE">
        <w:rPr>
          <w:rFonts w:ascii="Times New Roman" w:hAnsi="Times New Roman" w:cs="Times New Roman"/>
        </w:rPr>
        <w:t xml:space="preserve">s vastgelegd in </w:t>
      </w:r>
      <w:r w:rsidR="00D95D6C" w:rsidRPr="006C18EE">
        <w:rPr>
          <w:rFonts w:ascii="Times New Roman" w:hAnsi="Times New Roman" w:cs="Times New Roman"/>
        </w:rPr>
        <w:t xml:space="preserve">de Grondwet </w:t>
      </w:r>
      <w:r w:rsidR="00310942" w:rsidRPr="006C18EE">
        <w:rPr>
          <w:rFonts w:ascii="Times New Roman" w:hAnsi="Times New Roman" w:cs="Times New Roman"/>
        </w:rPr>
        <w:t>en</w:t>
      </w:r>
      <w:r w:rsidR="00A555CD">
        <w:rPr>
          <w:rFonts w:ascii="Times New Roman" w:hAnsi="Times New Roman" w:cs="Times New Roman"/>
        </w:rPr>
        <w:t xml:space="preserve"> </w:t>
      </w:r>
      <w:r w:rsidRPr="006C18EE">
        <w:rPr>
          <w:rFonts w:ascii="Times New Roman" w:hAnsi="Times New Roman" w:cs="Times New Roman"/>
        </w:rPr>
        <w:t>internationale regelgeving m.b.t</w:t>
      </w:r>
      <w:r w:rsidR="00C75546" w:rsidRPr="006C18EE">
        <w:rPr>
          <w:rFonts w:ascii="Times New Roman" w:hAnsi="Times New Roman" w:cs="Times New Roman"/>
        </w:rPr>
        <w:t>.</w:t>
      </w:r>
      <w:r w:rsidRPr="006C18EE">
        <w:rPr>
          <w:rFonts w:ascii="Times New Roman" w:hAnsi="Times New Roman" w:cs="Times New Roman"/>
        </w:rPr>
        <w:t xml:space="preserve"> de rechten van de mens.</w:t>
      </w:r>
    </w:p>
    <w:p w:rsidR="00310942" w:rsidRPr="006C18EE" w:rsidRDefault="004A766D" w:rsidP="004E5DE6">
      <w:pPr>
        <w:jc w:val="both"/>
        <w:rPr>
          <w:rFonts w:ascii="Times New Roman" w:hAnsi="Times New Roman" w:cs="Times New Roman"/>
        </w:rPr>
      </w:pPr>
      <w:r w:rsidRPr="006C18EE">
        <w:rPr>
          <w:rFonts w:ascii="Times New Roman" w:hAnsi="Times New Roman" w:cs="Times New Roman"/>
        </w:rPr>
        <w:t>Onder paragraaf 4</w:t>
      </w:r>
      <w:r w:rsidR="00C75546" w:rsidRPr="006C18EE">
        <w:rPr>
          <w:rFonts w:ascii="Times New Roman" w:hAnsi="Times New Roman" w:cs="Times New Roman"/>
        </w:rPr>
        <w:t>,</w:t>
      </w:r>
      <w:r w:rsidRPr="006C18EE">
        <w:rPr>
          <w:rFonts w:ascii="Times New Roman" w:hAnsi="Times New Roman" w:cs="Times New Roman"/>
        </w:rPr>
        <w:t xml:space="preserve"> sub a van </w:t>
      </w:r>
      <w:r w:rsidR="00A2016F" w:rsidRPr="006C18EE">
        <w:rPr>
          <w:rFonts w:ascii="Times New Roman" w:hAnsi="Times New Roman" w:cs="Times New Roman"/>
        </w:rPr>
        <w:t>haar</w:t>
      </w:r>
      <w:r w:rsidR="007C529C">
        <w:rPr>
          <w:rFonts w:ascii="Times New Roman" w:hAnsi="Times New Roman" w:cs="Times New Roman"/>
        </w:rPr>
        <w:t xml:space="preserve"> </w:t>
      </w:r>
      <w:r w:rsidR="00C75546" w:rsidRPr="006C18EE">
        <w:rPr>
          <w:rFonts w:ascii="Times New Roman" w:hAnsi="Times New Roman" w:cs="Times New Roman"/>
        </w:rPr>
        <w:t xml:space="preserve">meest recente </w:t>
      </w:r>
      <w:r w:rsidRPr="006C18EE">
        <w:rPr>
          <w:rFonts w:ascii="Times New Roman" w:hAnsi="Times New Roman" w:cs="Times New Roman"/>
        </w:rPr>
        <w:t>advie</w:t>
      </w:r>
      <w:r w:rsidR="00A2016F" w:rsidRPr="006C18EE">
        <w:rPr>
          <w:rFonts w:ascii="Times New Roman" w:hAnsi="Times New Roman" w:cs="Times New Roman"/>
        </w:rPr>
        <w:t xml:space="preserve">s </w:t>
      </w:r>
      <w:r w:rsidR="00D33E90" w:rsidRPr="006C18EE">
        <w:rPr>
          <w:rFonts w:ascii="Times New Roman" w:hAnsi="Times New Roman" w:cs="Times New Roman"/>
        </w:rPr>
        <w:t>over</w:t>
      </w:r>
      <w:r w:rsidRPr="006C18EE">
        <w:rPr>
          <w:rFonts w:ascii="Times New Roman" w:hAnsi="Times New Roman" w:cs="Times New Roman"/>
        </w:rPr>
        <w:t xml:space="preserve"> het wetsvoorstel</w:t>
      </w:r>
      <w:r w:rsidR="00BE5F67">
        <w:rPr>
          <w:rFonts w:ascii="Times New Roman" w:hAnsi="Times New Roman" w:cs="Times New Roman"/>
        </w:rPr>
        <w:t xml:space="preserve"> </w:t>
      </w:r>
      <w:r w:rsidRPr="006C18EE">
        <w:rPr>
          <w:rFonts w:ascii="Times New Roman" w:hAnsi="Times New Roman" w:cs="Times New Roman"/>
        </w:rPr>
        <w:t xml:space="preserve">WGS </w:t>
      </w:r>
      <w:r w:rsidR="00C75546" w:rsidRPr="006C18EE">
        <w:rPr>
          <w:rFonts w:ascii="Times New Roman" w:hAnsi="Times New Roman" w:cs="Times New Roman"/>
        </w:rPr>
        <w:t xml:space="preserve">stelt de Afdeling dat </w:t>
      </w:r>
      <w:r w:rsidR="00A2016F" w:rsidRPr="006C18EE">
        <w:rPr>
          <w:rFonts w:ascii="Times New Roman" w:hAnsi="Times New Roman" w:cs="Times New Roman"/>
        </w:rPr>
        <w:t xml:space="preserve">het voorstel </w:t>
      </w:r>
      <w:r w:rsidRPr="006C18EE">
        <w:rPr>
          <w:rFonts w:ascii="Times New Roman" w:hAnsi="Times New Roman" w:cs="Times New Roman"/>
        </w:rPr>
        <w:t>wezenlijke elementen nog steeds ‘aan een AMvB overlaat’. Met andere woorden, de reden</w:t>
      </w:r>
      <w:r w:rsidR="00C75546" w:rsidRPr="006C18EE">
        <w:rPr>
          <w:rFonts w:ascii="Times New Roman" w:hAnsi="Times New Roman" w:cs="Times New Roman"/>
        </w:rPr>
        <w:t>en</w:t>
      </w:r>
      <w:r w:rsidRPr="006C18EE">
        <w:rPr>
          <w:rFonts w:ascii="Times New Roman" w:hAnsi="Times New Roman" w:cs="Times New Roman"/>
        </w:rPr>
        <w:t xml:space="preserve"> op grond waarvan de </w:t>
      </w:r>
      <w:r w:rsidR="00A2016F" w:rsidRPr="006C18EE">
        <w:rPr>
          <w:rFonts w:ascii="Times New Roman" w:hAnsi="Times New Roman" w:cs="Times New Roman"/>
        </w:rPr>
        <w:t>Afdeling</w:t>
      </w:r>
      <w:r w:rsidRPr="006C18EE">
        <w:rPr>
          <w:rFonts w:ascii="Times New Roman" w:hAnsi="Times New Roman" w:cs="Times New Roman"/>
        </w:rPr>
        <w:t xml:space="preserve"> eerst negatief adviseerde </w:t>
      </w:r>
      <w:r w:rsidR="00A2016F" w:rsidRPr="006C18EE">
        <w:rPr>
          <w:rFonts w:ascii="Times New Roman" w:hAnsi="Times New Roman" w:cs="Times New Roman"/>
        </w:rPr>
        <w:t xml:space="preserve">inzake de delegatiegrondslagen onder </w:t>
      </w:r>
      <w:r w:rsidRPr="006C18EE">
        <w:rPr>
          <w:rFonts w:ascii="Times New Roman" w:hAnsi="Times New Roman" w:cs="Times New Roman"/>
        </w:rPr>
        <w:t xml:space="preserve">dit wetsvoorstel zijn </w:t>
      </w:r>
      <w:r w:rsidR="00A555CD">
        <w:rPr>
          <w:rFonts w:ascii="Times New Roman" w:hAnsi="Times New Roman" w:cs="Times New Roman"/>
        </w:rPr>
        <w:t>onverminderd</w:t>
      </w:r>
      <w:r w:rsidRPr="006C18EE">
        <w:rPr>
          <w:rFonts w:ascii="Times New Roman" w:hAnsi="Times New Roman" w:cs="Times New Roman"/>
        </w:rPr>
        <w:t xml:space="preserve"> </w:t>
      </w:r>
      <w:r w:rsidR="00A2016F" w:rsidRPr="006C18EE">
        <w:rPr>
          <w:rFonts w:ascii="Times New Roman" w:hAnsi="Times New Roman" w:cs="Times New Roman"/>
        </w:rPr>
        <w:t xml:space="preserve">aanwezig. </w:t>
      </w:r>
      <w:r w:rsidRPr="006C18EE">
        <w:rPr>
          <w:rFonts w:ascii="Times New Roman" w:hAnsi="Times New Roman" w:cs="Times New Roman"/>
        </w:rPr>
        <w:t xml:space="preserve">In het vervolg van dit advies springt de </w:t>
      </w:r>
      <w:r w:rsidR="00C75546" w:rsidRPr="006C18EE">
        <w:rPr>
          <w:rFonts w:ascii="Times New Roman" w:hAnsi="Times New Roman" w:cs="Times New Roman"/>
        </w:rPr>
        <w:t>Afdeling</w:t>
      </w:r>
      <w:r w:rsidR="00A555CD">
        <w:rPr>
          <w:rFonts w:ascii="Times New Roman" w:hAnsi="Times New Roman" w:cs="Times New Roman"/>
        </w:rPr>
        <w:t xml:space="preserve"> </w:t>
      </w:r>
      <w:r w:rsidR="00FB02DB" w:rsidRPr="006C18EE">
        <w:rPr>
          <w:rFonts w:ascii="Times New Roman" w:hAnsi="Times New Roman" w:cs="Times New Roman"/>
        </w:rPr>
        <w:t xml:space="preserve">echter </w:t>
      </w:r>
      <w:r w:rsidRPr="006C18EE">
        <w:rPr>
          <w:rFonts w:ascii="Times New Roman" w:hAnsi="Times New Roman" w:cs="Times New Roman"/>
        </w:rPr>
        <w:t xml:space="preserve">van de hak op de tak en begint </w:t>
      </w:r>
      <w:r w:rsidR="00C75546" w:rsidRPr="006C18EE">
        <w:rPr>
          <w:rFonts w:ascii="Times New Roman" w:hAnsi="Times New Roman" w:cs="Times New Roman"/>
        </w:rPr>
        <w:t>deze</w:t>
      </w:r>
      <w:r w:rsidRPr="006C18EE">
        <w:rPr>
          <w:rFonts w:ascii="Times New Roman" w:hAnsi="Times New Roman" w:cs="Times New Roman"/>
        </w:rPr>
        <w:t xml:space="preserve"> over een uitzonderingstoestand om </w:t>
      </w:r>
      <w:r w:rsidR="00310942" w:rsidRPr="006C18EE">
        <w:rPr>
          <w:rFonts w:ascii="Times New Roman" w:hAnsi="Times New Roman" w:cs="Times New Roman"/>
        </w:rPr>
        <w:t xml:space="preserve">onder dit wetsvoorstel </w:t>
      </w:r>
      <w:r w:rsidRPr="006C18EE">
        <w:rPr>
          <w:rFonts w:ascii="Times New Roman" w:hAnsi="Times New Roman" w:cs="Times New Roman"/>
        </w:rPr>
        <w:t xml:space="preserve">structureel van de Grondwet af te wijken als er sprake zou zijn van een ‘geval van spoed’. Het is ongekend dat de Raad van State, die zou moeten waken over de grondrechten in het wetgevingsproces, de uitvoerende macht </w:t>
      </w:r>
      <w:r w:rsidR="00310942" w:rsidRPr="006C18EE">
        <w:rPr>
          <w:rFonts w:ascii="Times New Roman" w:hAnsi="Times New Roman" w:cs="Times New Roman"/>
        </w:rPr>
        <w:t>de Grondwet opzij laat schuiven</w:t>
      </w:r>
      <w:r w:rsidRPr="006C18EE">
        <w:rPr>
          <w:rFonts w:ascii="Times New Roman" w:hAnsi="Times New Roman" w:cs="Times New Roman"/>
        </w:rPr>
        <w:t xml:space="preserve"> met een excuusbriefje waarop ‘geval van spoed’ valt te lezen</w:t>
      </w:r>
      <w:r w:rsidR="00C75546" w:rsidRPr="006C18EE">
        <w:rPr>
          <w:rFonts w:ascii="Times New Roman" w:hAnsi="Times New Roman" w:cs="Times New Roman"/>
        </w:rPr>
        <w:t>, om</w:t>
      </w:r>
      <w:r w:rsidRPr="006C18EE">
        <w:rPr>
          <w:rFonts w:ascii="Times New Roman" w:hAnsi="Times New Roman" w:cs="Times New Roman"/>
        </w:rPr>
        <w:t xml:space="preserve"> vervolgens</w:t>
      </w:r>
      <w:r w:rsidR="00A555CD">
        <w:rPr>
          <w:rFonts w:ascii="Times New Roman" w:hAnsi="Times New Roman" w:cs="Times New Roman"/>
        </w:rPr>
        <w:t xml:space="preserve"> </w:t>
      </w:r>
      <w:r w:rsidR="007C529C">
        <w:rPr>
          <w:rFonts w:ascii="Times New Roman" w:hAnsi="Times New Roman" w:cs="Times New Roman"/>
        </w:rPr>
        <w:t xml:space="preserve">te adviseren om </w:t>
      </w:r>
      <w:r w:rsidR="00995E1C">
        <w:rPr>
          <w:rFonts w:ascii="Times New Roman" w:hAnsi="Times New Roman" w:cs="Times New Roman"/>
        </w:rPr>
        <w:t>met de Grondwet</w:t>
      </w:r>
      <w:r w:rsidRPr="006C18EE">
        <w:rPr>
          <w:rFonts w:ascii="Times New Roman" w:hAnsi="Times New Roman" w:cs="Times New Roman"/>
        </w:rPr>
        <w:t xml:space="preserve"> strijdige wetgeving bij AMvB te </w:t>
      </w:r>
      <w:r w:rsidR="007C529C">
        <w:rPr>
          <w:rFonts w:ascii="Times New Roman" w:hAnsi="Times New Roman" w:cs="Times New Roman"/>
        </w:rPr>
        <w:t xml:space="preserve">laten </w:t>
      </w:r>
      <w:r w:rsidRPr="006C18EE">
        <w:rPr>
          <w:rFonts w:ascii="Times New Roman" w:hAnsi="Times New Roman" w:cs="Times New Roman"/>
        </w:rPr>
        <w:t xml:space="preserve">repareren. </w:t>
      </w:r>
      <w:r w:rsidR="000036A3" w:rsidRPr="006C18EE">
        <w:rPr>
          <w:rFonts w:ascii="Times New Roman" w:hAnsi="Times New Roman" w:cs="Times New Roman"/>
        </w:rPr>
        <w:t>Het P</w:t>
      </w:r>
      <w:r w:rsidR="006A13C6">
        <w:rPr>
          <w:rFonts w:ascii="Times New Roman" w:hAnsi="Times New Roman" w:cs="Times New Roman"/>
        </w:rPr>
        <w:t>latform Burgerrecht</w:t>
      </w:r>
      <w:r w:rsidR="00A555CD">
        <w:rPr>
          <w:rFonts w:ascii="Times New Roman" w:hAnsi="Times New Roman" w:cs="Times New Roman"/>
        </w:rPr>
        <w:t>en wijst er</w:t>
      </w:r>
      <w:r w:rsidR="000036A3" w:rsidRPr="006C18EE">
        <w:rPr>
          <w:rFonts w:ascii="Times New Roman" w:hAnsi="Times New Roman" w:cs="Times New Roman"/>
        </w:rPr>
        <w:t>op dat er voor het begrip ‘spoed’ geen plaats is in een normale wetgevingsprocedure; voor gevallen van nood bestaan aparte wetgevingsprocedures.</w:t>
      </w:r>
    </w:p>
    <w:p w:rsidR="00BE5F67" w:rsidRPr="00BE5F67" w:rsidRDefault="004A766D" w:rsidP="004E5DE6">
      <w:pPr>
        <w:jc w:val="both"/>
        <w:rPr>
          <w:rFonts w:ascii="Times New Roman" w:hAnsi="Times New Roman" w:cs="Times New Roman"/>
        </w:rPr>
      </w:pPr>
      <w:r w:rsidRPr="006C18EE">
        <w:rPr>
          <w:rFonts w:ascii="Times New Roman" w:hAnsi="Times New Roman" w:cs="Times New Roman"/>
        </w:rPr>
        <w:lastRenderedPageBreak/>
        <w:t xml:space="preserve">In een land dat al </w:t>
      </w:r>
      <w:r w:rsidR="00310942" w:rsidRPr="006C18EE">
        <w:rPr>
          <w:rFonts w:ascii="Times New Roman" w:hAnsi="Times New Roman" w:cs="Times New Roman"/>
        </w:rPr>
        <w:t>bijna</w:t>
      </w:r>
      <w:r w:rsidRPr="006C18EE">
        <w:rPr>
          <w:rFonts w:ascii="Times New Roman" w:hAnsi="Times New Roman" w:cs="Times New Roman"/>
        </w:rPr>
        <w:t xml:space="preserve"> een jaar </w:t>
      </w:r>
      <w:r w:rsidR="00CD1005" w:rsidRPr="006C18EE">
        <w:rPr>
          <w:rFonts w:ascii="Times New Roman" w:hAnsi="Times New Roman" w:cs="Times New Roman"/>
        </w:rPr>
        <w:t xml:space="preserve">per nooddecreet </w:t>
      </w:r>
      <w:r w:rsidR="00310942" w:rsidRPr="006C18EE">
        <w:rPr>
          <w:rFonts w:ascii="Times New Roman" w:hAnsi="Times New Roman" w:cs="Times New Roman"/>
        </w:rPr>
        <w:t xml:space="preserve">wordt geregeerd </w:t>
      </w:r>
      <w:r w:rsidRPr="006C18EE">
        <w:rPr>
          <w:rFonts w:ascii="Times New Roman" w:hAnsi="Times New Roman" w:cs="Times New Roman"/>
        </w:rPr>
        <w:t xml:space="preserve">door een demissionair kabinet dat </w:t>
      </w:r>
      <w:r w:rsidR="00CD1005" w:rsidRPr="006C18EE">
        <w:rPr>
          <w:rFonts w:ascii="Times New Roman" w:hAnsi="Times New Roman" w:cs="Times New Roman"/>
        </w:rPr>
        <w:t xml:space="preserve">is afgetreden wegens uitvoeringspraktijken die een rechtsstatelijke crisis blootlegden, </w:t>
      </w:r>
      <w:r w:rsidR="00310942" w:rsidRPr="006C18EE">
        <w:rPr>
          <w:rFonts w:ascii="Times New Roman" w:hAnsi="Times New Roman" w:cs="Times New Roman"/>
        </w:rPr>
        <w:t xml:space="preserve">is het alleszins opmerkelijk dat er </w:t>
      </w:r>
      <w:r w:rsidR="00CD1005" w:rsidRPr="006C18EE">
        <w:rPr>
          <w:rFonts w:ascii="Times New Roman" w:hAnsi="Times New Roman" w:cs="Times New Roman"/>
        </w:rPr>
        <w:t xml:space="preserve">vanuit het hoogste adviesorgaan </w:t>
      </w:r>
      <w:r w:rsidR="00FB0061" w:rsidRPr="006C18EE">
        <w:rPr>
          <w:rFonts w:ascii="Times New Roman" w:hAnsi="Times New Roman" w:cs="Times New Roman"/>
        </w:rPr>
        <w:t>een dergelijk</w:t>
      </w:r>
      <w:r w:rsidR="00310942" w:rsidRPr="006C18EE">
        <w:rPr>
          <w:rFonts w:ascii="Times New Roman" w:hAnsi="Times New Roman" w:cs="Times New Roman"/>
        </w:rPr>
        <w:t xml:space="preserve"> vertrouwen wordt gesteld </w:t>
      </w:r>
      <w:r w:rsidR="000036A3" w:rsidRPr="00BE5F67">
        <w:rPr>
          <w:rFonts w:ascii="Times New Roman" w:hAnsi="Times New Roman" w:cs="Times New Roman"/>
        </w:rPr>
        <w:t xml:space="preserve">in </w:t>
      </w:r>
      <w:r w:rsidR="00AB5CCC">
        <w:rPr>
          <w:rFonts w:ascii="Times New Roman" w:hAnsi="Times New Roman" w:cs="Times New Roman"/>
        </w:rPr>
        <w:t>de</w:t>
      </w:r>
      <w:r w:rsidR="000036A3" w:rsidRPr="00BE5F67">
        <w:rPr>
          <w:rFonts w:ascii="Times New Roman" w:hAnsi="Times New Roman" w:cs="Times New Roman"/>
        </w:rPr>
        <w:t xml:space="preserve"> voortvarendheid van handelen om onvolmaakte wetgeving te vervolmaken. Zeker </w:t>
      </w:r>
      <w:r w:rsidR="008801DE">
        <w:rPr>
          <w:rFonts w:ascii="Times New Roman" w:hAnsi="Times New Roman" w:cs="Times New Roman"/>
        </w:rPr>
        <w:t>aangezien</w:t>
      </w:r>
      <w:r w:rsidR="000036A3" w:rsidRPr="00BE5F67">
        <w:rPr>
          <w:rFonts w:ascii="Times New Roman" w:hAnsi="Times New Roman" w:cs="Times New Roman"/>
        </w:rPr>
        <w:t xml:space="preserve"> die onvolmaaktheid, belichaam</w:t>
      </w:r>
      <w:r w:rsidR="00BE5F67" w:rsidRPr="00BE5F67">
        <w:rPr>
          <w:rFonts w:ascii="Times New Roman" w:hAnsi="Times New Roman" w:cs="Times New Roman"/>
        </w:rPr>
        <w:t>d</w:t>
      </w:r>
      <w:r w:rsidR="000036A3" w:rsidRPr="00BE5F67">
        <w:rPr>
          <w:rFonts w:ascii="Times New Roman" w:hAnsi="Times New Roman" w:cs="Times New Roman"/>
        </w:rPr>
        <w:t xml:space="preserve"> door de kaderwet, </w:t>
      </w:r>
      <w:r w:rsidR="00BE5F67">
        <w:rPr>
          <w:rFonts w:ascii="Times New Roman" w:hAnsi="Times New Roman" w:cs="Times New Roman"/>
        </w:rPr>
        <w:t xml:space="preserve">voor het kabinet </w:t>
      </w:r>
      <w:r w:rsidR="000036A3" w:rsidRPr="00BE5F67">
        <w:rPr>
          <w:rFonts w:ascii="Times New Roman" w:hAnsi="Times New Roman" w:cs="Times New Roman"/>
        </w:rPr>
        <w:t>van meet af aan de felbegeerde uitkomst van dit wetgevingstraject was.</w:t>
      </w:r>
      <w:r w:rsidR="00BE5F67">
        <w:rPr>
          <w:rStyle w:val="FootnoteReference"/>
          <w:rFonts w:ascii="Times New Roman" w:hAnsi="Times New Roman" w:cs="Times New Roman"/>
        </w:rPr>
        <w:footnoteReference w:id="7"/>
      </w:r>
      <w:r w:rsidR="00BE5F67">
        <w:rPr>
          <w:rFonts w:ascii="Times New Roman" w:hAnsi="Times New Roman" w:cs="Times New Roman"/>
        </w:rPr>
        <w:t xml:space="preserve"> </w:t>
      </w:r>
      <w:r w:rsidRPr="006C18EE">
        <w:rPr>
          <w:rFonts w:ascii="Times New Roman" w:hAnsi="Times New Roman" w:cs="Times New Roman"/>
        </w:rPr>
        <w:t xml:space="preserve">Vervolgens eindigt de </w:t>
      </w:r>
      <w:r w:rsidR="00645A6C">
        <w:rPr>
          <w:rFonts w:ascii="Times New Roman" w:hAnsi="Times New Roman" w:cs="Times New Roman"/>
        </w:rPr>
        <w:t xml:space="preserve">Afdeling </w:t>
      </w:r>
      <w:r w:rsidRPr="006C18EE">
        <w:rPr>
          <w:rFonts w:ascii="Times New Roman" w:hAnsi="Times New Roman" w:cs="Times New Roman"/>
        </w:rPr>
        <w:t>met twee opties om middels novelle, dan wel om middels een reparatiewet na aanname van dit onvolkomen wetsvoorstel</w:t>
      </w:r>
      <w:r w:rsidR="00006BEB" w:rsidRPr="006C18EE">
        <w:rPr>
          <w:rFonts w:ascii="Times New Roman" w:hAnsi="Times New Roman" w:cs="Times New Roman"/>
        </w:rPr>
        <w:t xml:space="preserve"> de wetgevingsprocedure voort te zetten</w:t>
      </w:r>
      <w:r w:rsidRPr="006C18EE">
        <w:rPr>
          <w:rFonts w:ascii="Times New Roman" w:hAnsi="Times New Roman" w:cs="Times New Roman"/>
        </w:rPr>
        <w:t>.</w:t>
      </w:r>
      <w:r w:rsidR="0076079D">
        <w:rPr>
          <w:rFonts w:ascii="Times New Roman" w:hAnsi="Times New Roman" w:cs="Times New Roman"/>
        </w:rPr>
        <w:t xml:space="preserve"> </w:t>
      </w:r>
      <w:r w:rsidR="00BE5F67">
        <w:rPr>
          <w:rFonts w:ascii="Times New Roman" w:hAnsi="Times New Roman" w:cs="Times New Roman"/>
        </w:rPr>
        <w:t>Geen van die</w:t>
      </w:r>
      <w:r w:rsidR="00BE5F67" w:rsidRPr="00BE5F67">
        <w:rPr>
          <w:rFonts w:ascii="Times New Roman" w:hAnsi="Times New Roman" w:cs="Times New Roman"/>
        </w:rPr>
        <w:t xml:space="preserve"> opties </w:t>
      </w:r>
      <w:r w:rsidR="00BE5F67">
        <w:rPr>
          <w:rFonts w:ascii="Times New Roman" w:hAnsi="Times New Roman" w:cs="Times New Roman"/>
        </w:rPr>
        <w:t>kan</w:t>
      </w:r>
      <w:r w:rsidR="00BE5F67" w:rsidRPr="00BE5F67">
        <w:rPr>
          <w:rFonts w:ascii="Times New Roman" w:hAnsi="Times New Roman" w:cs="Times New Roman"/>
        </w:rPr>
        <w:t xml:space="preserve"> echter </w:t>
      </w:r>
      <w:r w:rsidR="00BE5F67">
        <w:rPr>
          <w:rFonts w:ascii="Times New Roman" w:hAnsi="Times New Roman" w:cs="Times New Roman"/>
        </w:rPr>
        <w:t>als substituut dienen</w:t>
      </w:r>
      <w:r w:rsidR="00BE5F67" w:rsidRPr="00BE5F67">
        <w:rPr>
          <w:rFonts w:ascii="Times New Roman" w:hAnsi="Times New Roman" w:cs="Times New Roman"/>
        </w:rPr>
        <w:t xml:space="preserve"> van bindende voorschriften op het niveau van de formele wet, een eis die voortkomt uit de Grondwet. </w:t>
      </w:r>
    </w:p>
    <w:p w:rsidR="00D3044E" w:rsidRPr="006C18EE" w:rsidRDefault="006C18EE" w:rsidP="004E5DE6">
      <w:pPr>
        <w:jc w:val="both"/>
        <w:rPr>
          <w:rFonts w:ascii="Times New Roman" w:hAnsi="Times New Roman" w:cs="Times New Roman"/>
          <w:b/>
          <w:i/>
        </w:rPr>
      </w:pPr>
      <w:r w:rsidRPr="006C18EE">
        <w:rPr>
          <w:rFonts w:ascii="Times New Roman" w:hAnsi="Times New Roman" w:cs="Times New Roman"/>
          <w:b/>
        </w:rPr>
        <w:t>K</w:t>
      </w:r>
      <w:r w:rsidR="00D3044E" w:rsidRPr="006C18EE">
        <w:rPr>
          <w:rFonts w:ascii="Times New Roman" w:hAnsi="Times New Roman" w:cs="Times New Roman"/>
          <w:b/>
        </w:rPr>
        <w:t>antelpunt</w:t>
      </w:r>
      <w:r w:rsidRPr="006C18EE">
        <w:rPr>
          <w:rFonts w:ascii="Times New Roman" w:hAnsi="Times New Roman" w:cs="Times New Roman"/>
          <w:b/>
        </w:rPr>
        <w:t xml:space="preserve"> in wetgeving</w:t>
      </w:r>
      <w:r w:rsidR="003A04C9">
        <w:rPr>
          <w:rFonts w:ascii="Times New Roman" w:hAnsi="Times New Roman" w:cs="Times New Roman"/>
          <w:b/>
        </w:rPr>
        <w:t>sgeschiedenis</w:t>
      </w:r>
    </w:p>
    <w:p w:rsidR="00CD1005" w:rsidRDefault="004A766D" w:rsidP="004E5DE6">
      <w:pPr>
        <w:jc w:val="both"/>
        <w:rPr>
          <w:rFonts w:ascii="Times New Roman" w:hAnsi="Times New Roman" w:cs="Times New Roman"/>
        </w:rPr>
      </w:pPr>
      <w:r w:rsidRPr="006C18EE">
        <w:rPr>
          <w:rFonts w:ascii="Times New Roman" w:hAnsi="Times New Roman" w:cs="Times New Roman"/>
        </w:rPr>
        <w:t xml:space="preserve">De kaderwet </w:t>
      </w:r>
      <w:r w:rsidR="0076079D">
        <w:rPr>
          <w:rFonts w:ascii="Times New Roman" w:hAnsi="Times New Roman" w:cs="Times New Roman"/>
        </w:rPr>
        <w:t xml:space="preserve">die onderdeel is van dit wetsvoorstel </w:t>
      </w:r>
      <w:r w:rsidRPr="006C18EE">
        <w:rPr>
          <w:rFonts w:ascii="Times New Roman" w:hAnsi="Times New Roman" w:cs="Times New Roman"/>
        </w:rPr>
        <w:t xml:space="preserve">heeft onder geen voorwaarde een plaats in de Nederlandse rechtsorde. Het feit dat de </w:t>
      </w:r>
      <w:r w:rsidR="00CD1005" w:rsidRPr="006C18EE">
        <w:rPr>
          <w:rFonts w:ascii="Times New Roman" w:hAnsi="Times New Roman" w:cs="Times New Roman"/>
        </w:rPr>
        <w:t>Afdeling</w:t>
      </w:r>
      <w:r w:rsidR="0076079D">
        <w:rPr>
          <w:rFonts w:ascii="Times New Roman" w:hAnsi="Times New Roman" w:cs="Times New Roman"/>
        </w:rPr>
        <w:t xml:space="preserve"> </w:t>
      </w:r>
      <w:r w:rsidR="005B4877" w:rsidRPr="006C18EE">
        <w:rPr>
          <w:rFonts w:ascii="Times New Roman" w:hAnsi="Times New Roman" w:cs="Times New Roman"/>
        </w:rPr>
        <w:t xml:space="preserve">zich </w:t>
      </w:r>
      <w:r w:rsidRPr="006C18EE">
        <w:rPr>
          <w:rFonts w:ascii="Times New Roman" w:hAnsi="Times New Roman" w:cs="Times New Roman"/>
        </w:rPr>
        <w:t xml:space="preserve">hier eerder principieel over uitsprak en </w:t>
      </w:r>
      <w:r w:rsidR="00CD1005" w:rsidRPr="006C18EE">
        <w:rPr>
          <w:rFonts w:ascii="Times New Roman" w:hAnsi="Times New Roman" w:cs="Times New Roman"/>
        </w:rPr>
        <w:t>in haar laatste advies</w:t>
      </w:r>
      <w:r w:rsidRPr="006C18EE">
        <w:rPr>
          <w:rFonts w:ascii="Times New Roman" w:hAnsi="Times New Roman" w:cs="Times New Roman"/>
        </w:rPr>
        <w:t xml:space="preserve"> </w:t>
      </w:r>
      <w:r w:rsidR="0076079D">
        <w:rPr>
          <w:rFonts w:ascii="Times New Roman" w:hAnsi="Times New Roman" w:cs="Times New Roman"/>
        </w:rPr>
        <w:t>onduidelijkheid laat bestaan</w:t>
      </w:r>
      <w:r w:rsidRPr="006C18EE">
        <w:rPr>
          <w:rFonts w:ascii="Times New Roman" w:hAnsi="Times New Roman" w:cs="Times New Roman"/>
        </w:rPr>
        <w:t>, kan worden gezien als een mogelijk belangrijk kantelpunt in de Nederlandse wetgevingsgeschiedenis</w:t>
      </w:r>
      <w:r w:rsidR="0076079D">
        <w:rPr>
          <w:rFonts w:ascii="Times New Roman" w:hAnsi="Times New Roman" w:cs="Times New Roman"/>
        </w:rPr>
        <w:t xml:space="preserve"> </w:t>
      </w:r>
      <w:r w:rsidR="00057CE7">
        <w:rPr>
          <w:rFonts w:ascii="Times New Roman" w:hAnsi="Times New Roman" w:cs="Times New Roman"/>
        </w:rPr>
        <w:t>aangaande</w:t>
      </w:r>
      <w:r w:rsidR="0076079D">
        <w:rPr>
          <w:rFonts w:ascii="Times New Roman" w:hAnsi="Times New Roman" w:cs="Times New Roman"/>
        </w:rPr>
        <w:t xml:space="preserve"> de rolverdeling tussen de wetgevende en de uitvoerende macht</w:t>
      </w:r>
      <w:r w:rsidRPr="006C18EE">
        <w:rPr>
          <w:rFonts w:ascii="Times New Roman" w:hAnsi="Times New Roman" w:cs="Times New Roman"/>
        </w:rPr>
        <w:t xml:space="preserve">. Het feit dat de </w:t>
      </w:r>
      <w:r w:rsidR="00CD1005" w:rsidRPr="006C18EE">
        <w:rPr>
          <w:rFonts w:ascii="Times New Roman" w:hAnsi="Times New Roman" w:cs="Times New Roman"/>
        </w:rPr>
        <w:t>Afdeling</w:t>
      </w:r>
      <w:r w:rsidR="0076079D">
        <w:rPr>
          <w:rFonts w:ascii="Times New Roman" w:hAnsi="Times New Roman" w:cs="Times New Roman"/>
        </w:rPr>
        <w:t xml:space="preserve"> </w:t>
      </w:r>
      <w:r w:rsidR="00006BEB" w:rsidRPr="006C18EE">
        <w:rPr>
          <w:rFonts w:ascii="Times New Roman" w:hAnsi="Times New Roman" w:cs="Times New Roman"/>
        </w:rPr>
        <w:t xml:space="preserve">voorstelt </w:t>
      </w:r>
      <w:r w:rsidR="000310EA">
        <w:rPr>
          <w:rFonts w:ascii="Times New Roman" w:hAnsi="Times New Roman" w:cs="Times New Roman"/>
        </w:rPr>
        <w:t>om het gebrek aan wezenlijke elementen</w:t>
      </w:r>
      <w:r w:rsidR="0076079D">
        <w:rPr>
          <w:rFonts w:ascii="Times New Roman" w:hAnsi="Times New Roman" w:cs="Times New Roman"/>
        </w:rPr>
        <w:t xml:space="preserve"> – door de Afdeling zelf verwoord als ‘regels en protocollen’ - </w:t>
      </w:r>
      <w:r w:rsidR="00006BEB" w:rsidRPr="006C18EE">
        <w:rPr>
          <w:rFonts w:ascii="Times New Roman" w:hAnsi="Times New Roman" w:cs="Times New Roman"/>
        </w:rPr>
        <w:t>te</w:t>
      </w:r>
      <w:r w:rsidRPr="006C18EE">
        <w:rPr>
          <w:rFonts w:ascii="Times New Roman" w:hAnsi="Times New Roman" w:cs="Times New Roman"/>
        </w:rPr>
        <w:t xml:space="preserve"> repareren door de nadruk </w:t>
      </w:r>
      <w:r w:rsidR="000310EA">
        <w:rPr>
          <w:rFonts w:ascii="Times New Roman" w:hAnsi="Times New Roman" w:cs="Times New Roman"/>
        </w:rPr>
        <w:t>te leggen op</w:t>
      </w:r>
      <w:r w:rsidRPr="006C18EE">
        <w:rPr>
          <w:rFonts w:ascii="Times New Roman" w:hAnsi="Times New Roman" w:cs="Times New Roman"/>
        </w:rPr>
        <w:t xml:space="preserve"> ‘professionaliteit’ en ‘deskundigheid op de werkvloer’, getuigt van het feit dat </w:t>
      </w:r>
      <w:r w:rsidR="00006BEB" w:rsidRPr="006C18EE">
        <w:rPr>
          <w:rFonts w:ascii="Times New Roman" w:hAnsi="Times New Roman" w:cs="Times New Roman"/>
        </w:rPr>
        <w:t>deze</w:t>
      </w:r>
      <w:r w:rsidRPr="006C18EE">
        <w:rPr>
          <w:rFonts w:ascii="Times New Roman" w:hAnsi="Times New Roman" w:cs="Times New Roman"/>
        </w:rPr>
        <w:t xml:space="preserve"> partij haar verantwoordelijkheid ter bescherming van onze vrije democratische rechtsstaat negeert en delegeert aan uitvoerende instanties.</w:t>
      </w:r>
      <w:r w:rsidR="00006BEB" w:rsidRPr="006C18EE">
        <w:rPr>
          <w:rFonts w:ascii="Times New Roman" w:hAnsi="Times New Roman" w:cs="Times New Roman"/>
        </w:rPr>
        <w:t xml:space="preserve"> De partij die bij uitstek zou moeten opkomen voor </w:t>
      </w:r>
      <w:r w:rsidR="00365F7F">
        <w:rPr>
          <w:rFonts w:ascii="Times New Roman" w:hAnsi="Times New Roman" w:cs="Times New Roman"/>
        </w:rPr>
        <w:t>de rechtsstaat op he</w:t>
      </w:r>
      <w:r w:rsidR="00D12DEF">
        <w:rPr>
          <w:rFonts w:ascii="Times New Roman" w:hAnsi="Times New Roman" w:cs="Times New Roman"/>
        </w:rPr>
        <w:t>t</w:t>
      </w:r>
      <w:r w:rsidR="00365F7F">
        <w:rPr>
          <w:rFonts w:ascii="Times New Roman" w:hAnsi="Times New Roman" w:cs="Times New Roman"/>
        </w:rPr>
        <w:t xml:space="preserve"> niveau van </w:t>
      </w:r>
      <w:r w:rsidR="00FC7457">
        <w:rPr>
          <w:rFonts w:ascii="Times New Roman" w:hAnsi="Times New Roman" w:cs="Times New Roman"/>
        </w:rPr>
        <w:t>de wet</w:t>
      </w:r>
      <w:r w:rsidR="00006BEB" w:rsidRPr="006C18EE">
        <w:rPr>
          <w:rFonts w:ascii="Times New Roman" w:hAnsi="Times New Roman" w:cs="Times New Roman"/>
        </w:rPr>
        <w:t>,</w:t>
      </w:r>
      <w:r w:rsidR="0076079D">
        <w:rPr>
          <w:rFonts w:ascii="Times New Roman" w:hAnsi="Times New Roman" w:cs="Times New Roman"/>
        </w:rPr>
        <w:t xml:space="preserve"> </w:t>
      </w:r>
      <w:r w:rsidR="00FC7457">
        <w:rPr>
          <w:rFonts w:ascii="Times New Roman" w:hAnsi="Times New Roman" w:cs="Times New Roman"/>
        </w:rPr>
        <w:t>komt bij dit gemankeerde, niet legitieme wetsvoorstel tot de wonderlijke conclusie</w:t>
      </w:r>
      <w:r w:rsidR="00006BEB" w:rsidRPr="006C18EE">
        <w:rPr>
          <w:rFonts w:ascii="Times New Roman" w:hAnsi="Times New Roman" w:cs="Times New Roman"/>
        </w:rPr>
        <w:t>:</w:t>
      </w:r>
      <w:r w:rsidR="00D33A51">
        <w:rPr>
          <w:rFonts w:ascii="Times New Roman" w:hAnsi="Times New Roman" w:cs="Times New Roman"/>
        </w:rPr>
        <w:t xml:space="preserve"> ‘</w:t>
      </w:r>
      <w:r w:rsidRPr="006C18EE">
        <w:rPr>
          <w:rFonts w:ascii="Times New Roman" w:hAnsi="Times New Roman" w:cs="Times New Roman"/>
        </w:rPr>
        <w:t>Cruciaal is daarom dat de wetgever moet kunnen vertrouwen op een kwalitatief goede uitvoeringspraktijk</w:t>
      </w:r>
      <w:r w:rsidR="00D33A51">
        <w:rPr>
          <w:rFonts w:ascii="Times New Roman" w:hAnsi="Times New Roman" w:cs="Times New Roman"/>
        </w:rPr>
        <w:t>’</w:t>
      </w:r>
      <w:r w:rsidRPr="006C18EE">
        <w:rPr>
          <w:rFonts w:ascii="Times New Roman" w:hAnsi="Times New Roman" w:cs="Times New Roman"/>
        </w:rPr>
        <w:t xml:space="preserve">. </w:t>
      </w:r>
    </w:p>
    <w:p w:rsidR="00EC5998" w:rsidRPr="00455981" w:rsidRDefault="00057CE7" w:rsidP="004E5DE6">
      <w:pPr>
        <w:jc w:val="both"/>
        <w:rPr>
          <w:rFonts w:ascii="Times New Roman" w:hAnsi="Times New Roman" w:cs="Times New Roman"/>
        </w:rPr>
      </w:pPr>
      <w:r>
        <w:rPr>
          <w:rFonts w:ascii="Times New Roman" w:hAnsi="Times New Roman" w:cs="Times New Roman"/>
        </w:rPr>
        <w:t>In een rechtsstaat dient kwalitatief goede wetg</w:t>
      </w:r>
      <w:r w:rsidR="009B0EEE">
        <w:rPr>
          <w:rFonts w:ascii="Times New Roman" w:hAnsi="Times New Roman" w:cs="Times New Roman"/>
        </w:rPr>
        <w:t>eving te leiden tot een kwalit</w:t>
      </w:r>
      <w:r>
        <w:rPr>
          <w:rFonts w:ascii="Times New Roman" w:hAnsi="Times New Roman" w:cs="Times New Roman"/>
        </w:rPr>
        <w:t xml:space="preserve">atief goede uitvoeringspraktijk – niet andersom. Sinds de onthullingen in het dossier Toeslagenaffaire heeft Nederland kunnen zien tot welke desastreuze gevolgen de inzet van </w:t>
      </w:r>
      <w:r w:rsidR="003A04C9">
        <w:rPr>
          <w:rFonts w:ascii="Times New Roman" w:hAnsi="Times New Roman" w:cs="Times New Roman"/>
        </w:rPr>
        <w:t>ingrijpende</w:t>
      </w:r>
      <w:r>
        <w:rPr>
          <w:rFonts w:ascii="Times New Roman" w:hAnsi="Times New Roman" w:cs="Times New Roman"/>
        </w:rPr>
        <w:t xml:space="preserve"> gegevensverwerking</w:t>
      </w:r>
      <w:r w:rsidR="003A04C9">
        <w:rPr>
          <w:rFonts w:ascii="Times New Roman" w:hAnsi="Times New Roman" w:cs="Times New Roman"/>
        </w:rPr>
        <w:t>en</w:t>
      </w:r>
      <w:r>
        <w:rPr>
          <w:rFonts w:ascii="Times New Roman" w:hAnsi="Times New Roman" w:cs="Times New Roman"/>
        </w:rPr>
        <w:t xml:space="preserve"> in </w:t>
      </w:r>
      <w:r w:rsidR="003A04C9">
        <w:rPr>
          <w:rFonts w:ascii="Times New Roman" w:hAnsi="Times New Roman" w:cs="Times New Roman"/>
        </w:rPr>
        <w:t>een ongereguleerde</w:t>
      </w:r>
      <w:r>
        <w:rPr>
          <w:rFonts w:ascii="Times New Roman" w:hAnsi="Times New Roman" w:cs="Times New Roman"/>
        </w:rPr>
        <w:t xml:space="preserve"> </w:t>
      </w:r>
      <w:r w:rsidR="0009025E">
        <w:rPr>
          <w:rFonts w:ascii="Times New Roman" w:hAnsi="Times New Roman" w:cs="Times New Roman"/>
        </w:rPr>
        <w:t>uitvoerings</w:t>
      </w:r>
      <w:r>
        <w:rPr>
          <w:rFonts w:ascii="Times New Roman" w:hAnsi="Times New Roman" w:cs="Times New Roman"/>
        </w:rPr>
        <w:t>praktijk kan leiden.</w:t>
      </w:r>
      <w:r w:rsidR="0009025E">
        <w:rPr>
          <w:rFonts w:ascii="Times New Roman" w:hAnsi="Times New Roman" w:cs="Times New Roman"/>
        </w:rPr>
        <w:t xml:space="preserve"> </w:t>
      </w:r>
      <w:r w:rsidR="003A04C9">
        <w:rPr>
          <w:rFonts w:ascii="Times New Roman" w:hAnsi="Times New Roman" w:cs="Times New Roman"/>
        </w:rPr>
        <w:t>Het Platform Burgerrechten dringt</w:t>
      </w:r>
      <w:r w:rsidR="004A766D" w:rsidRPr="006C18EE">
        <w:rPr>
          <w:rFonts w:ascii="Times New Roman" w:hAnsi="Times New Roman" w:cs="Times New Roman"/>
        </w:rPr>
        <w:t xml:space="preserve"> er daarom bij u met klem op aan om</w:t>
      </w:r>
      <w:r w:rsidR="005B4877" w:rsidRPr="006C18EE">
        <w:rPr>
          <w:rFonts w:ascii="Times New Roman" w:hAnsi="Times New Roman" w:cs="Times New Roman"/>
        </w:rPr>
        <w:t>, in lijn met het advies van de AP en in lijn met de eveneens fundamentele bezwaren van het College voor de Rechten van de Mens,</w:t>
      </w:r>
      <w:r w:rsidR="004A766D" w:rsidRPr="006C18EE">
        <w:rPr>
          <w:rFonts w:ascii="Times New Roman" w:hAnsi="Times New Roman" w:cs="Times New Roman"/>
        </w:rPr>
        <w:t xml:space="preserve"> tegen de WGS </w:t>
      </w:r>
      <w:r w:rsidR="003A04C9">
        <w:rPr>
          <w:rFonts w:ascii="Times New Roman" w:hAnsi="Times New Roman" w:cs="Times New Roman"/>
        </w:rPr>
        <w:t xml:space="preserve">in de huidige vorm </w:t>
      </w:r>
      <w:r w:rsidR="004A766D" w:rsidRPr="006C18EE">
        <w:rPr>
          <w:rFonts w:ascii="Times New Roman" w:hAnsi="Times New Roman" w:cs="Times New Roman"/>
        </w:rPr>
        <w:t>te stemmen</w:t>
      </w:r>
      <w:r w:rsidR="003A04C9">
        <w:rPr>
          <w:rFonts w:ascii="Times New Roman" w:hAnsi="Times New Roman" w:cs="Times New Roman"/>
        </w:rPr>
        <w:t xml:space="preserve">. Met inachtneming van de zwaarwegende belangen die dit voorstel moet dienen, </w:t>
      </w:r>
      <w:r w:rsidR="00D3044E" w:rsidRPr="00455981">
        <w:rPr>
          <w:rFonts w:ascii="Times New Roman" w:hAnsi="Times New Roman" w:cs="Times New Roman"/>
        </w:rPr>
        <w:t xml:space="preserve">doet het Platform de drie </w:t>
      </w:r>
      <w:r w:rsidR="005B4877" w:rsidRPr="00455981">
        <w:rPr>
          <w:rFonts w:ascii="Times New Roman" w:hAnsi="Times New Roman" w:cs="Times New Roman"/>
        </w:rPr>
        <w:t>onderstaande aanbevelingen:</w:t>
      </w:r>
    </w:p>
    <w:p w:rsidR="000F2EDF" w:rsidRPr="00EC5998" w:rsidRDefault="00473646" w:rsidP="00365F7F">
      <w:pPr>
        <w:pStyle w:val="ListParagraph"/>
        <w:numPr>
          <w:ilvl w:val="0"/>
          <w:numId w:val="1"/>
        </w:numPr>
        <w:jc w:val="both"/>
        <w:rPr>
          <w:rFonts w:ascii="Times New Roman" w:hAnsi="Times New Roman" w:cs="Times New Roman"/>
          <w:b/>
        </w:rPr>
      </w:pPr>
      <w:r w:rsidRPr="00EC5998">
        <w:rPr>
          <w:rFonts w:ascii="Times New Roman" w:hAnsi="Times New Roman" w:cs="Times New Roman"/>
          <w:b/>
        </w:rPr>
        <w:t>Verwerp het voorliggende we</w:t>
      </w:r>
      <w:r w:rsidR="00455981" w:rsidRPr="00EC5998">
        <w:rPr>
          <w:rFonts w:ascii="Times New Roman" w:hAnsi="Times New Roman" w:cs="Times New Roman"/>
          <w:b/>
        </w:rPr>
        <w:t>tsvoorstel in haar huidige vorm;</w:t>
      </w:r>
    </w:p>
    <w:p w:rsidR="00D33A51" w:rsidRPr="00EC5998" w:rsidRDefault="00D33A51" w:rsidP="00365F7F">
      <w:pPr>
        <w:pStyle w:val="ListParagraph"/>
        <w:numPr>
          <w:ilvl w:val="0"/>
          <w:numId w:val="1"/>
        </w:numPr>
        <w:jc w:val="both"/>
        <w:rPr>
          <w:rFonts w:ascii="Times New Roman" w:hAnsi="Times New Roman" w:cs="Times New Roman"/>
          <w:b/>
        </w:rPr>
      </w:pPr>
      <w:r w:rsidRPr="00EC5998">
        <w:rPr>
          <w:rFonts w:ascii="Times New Roman" w:hAnsi="Times New Roman" w:cs="Times New Roman"/>
          <w:b/>
        </w:rPr>
        <w:t xml:space="preserve">Neem een motie aan die het voornemen voor een kaderwet in hoofdstuk </w:t>
      </w:r>
      <w:r w:rsidR="00455981" w:rsidRPr="00EC5998">
        <w:rPr>
          <w:rFonts w:ascii="Times New Roman" w:hAnsi="Times New Roman" w:cs="Times New Roman"/>
          <w:b/>
        </w:rPr>
        <w:t>3</w:t>
      </w:r>
      <w:r w:rsidR="001D283F">
        <w:rPr>
          <w:rFonts w:ascii="Times New Roman" w:hAnsi="Times New Roman" w:cs="Times New Roman"/>
          <w:b/>
        </w:rPr>
        <w:t xml:space="preserve"> van dit voorstel</w:t>
      </w:r>
      <w:r w:rsidRPr="00EC5998">
        <w:rPr>
          <w:rFonts w:ascii="Times New Roman" w:hAnsi="Times New Roman" w:cs="Times New Roman"/>
          <w:b/>
        </w:rPr>
        <w:t xml:space="preserve"> op fundamentele gronden verwerpt en het kabinet </w:t>
      </w:r>
      <w:r w:rsidR="0009025E">
        <w:rPr>
          <w:rFonts w:ascii="Times New Roman" w:hAnsi="Times New Roman" w:cs="Times New Roman"/>
          <w:b/>
        </w:rPr>
        <w:t>verzoekt</w:t>
      </w:r>
      <w:r w:rsidRPr="00EC5998">
        <w:rPr>
          <w:rFonts w:ascii="Times New Roman" w:hAnsi="Times New Roman" w:cs="Times New Roman"/>
          <w:b/>
        </w:rPr>
        <w:t xml:space="preserve"> zich in het vervolg te houden aan </w:t>
      </w:r>
      <w:r w:rsidR="0009025E">
        <w:rPr>
          <w:rFonts w:ascii="Times New Roman" w:hAnsi="Times New Roman" w:cs="Times New Roman"/>
          <w:b/>
        </w:rPr>
        <w:t xml:space="preserve">de </w:t>
      </w:r>
      <w:r w:rsidRPr="00EC5998">
        <w:rPr>
          <w:rFonts w:ascii="Times New Roman" w:hAnsi="Times New Roman" w:cs="Times New Roman"/>
          <w:b/>
        </w:rPr>
        <w:t>bindende voorschriften hieromtrent in de Grondwet</w:t>
      </w:r>
      <w:r w:rsidR="00455981" w:rsidRPr="00EC5998">
        <w:rPr>
          <w:rFonts w:ascii="Times New Roman" w:hAnsi="Times New Roman" w:cs="Times New Roman"/>
          <w:b/>
        </w:rPr>
        <w:t>;</w:t>
      </w:r>
    </w:p>
    <w:p w:rsidR="006D7AD6" w:rsidRPr="00EC5998" w:rsidRDefault="006D7AD6" w:rsidP="00365F7F">
      <w:pPr>
        <w:pStyle w:val="ListParagraph"/>
        <w:numPr>
          <w:ilvl w:val="0"/>
          <w:numId w:val="1"/>
        </w:numPr>
        <w:jc w:val="both"/>
        <w:rPr>
          <w:rFonts w:ascii="Times New Roman" w:hAnsi="Times New Roman" w:cs="Times New Roman"/>
          <w:b/>
        </w:rPr>
      </w:pPr>
      <w:r w:rsidRPr="00EC5998">
        <w:rPr>
          <w:rFonts w:ascii="Times New Roman" w:hAnsi="Times New Roman" w:cs="Times New Roman"/>
          <w:b/>
        </w:rPr>
        <w:t>Neem een motie aan</w:t>
      </w:r>
      <w:r w:rsidR="0009025E">
        <w:rPr>
          <w:rFonts w:ascii="Times New Roman" w:hAnsi="Times New Roman" w:cs="Times New Roman"/>
          <w:b/>
        </w:rPr>
        <w:t xml:space="preserve"> die het kabinet verzoekt</w:t>
      </w:r>
      <w:r w:rsidRPr="00EC5998">
        <w:rPr>
          <w:rFonts w:ascii="Times New Roman" w:hAnsi="Times New Roman" w:cs="Times New Roman"/>
          <w:b/>
        </w:rPr>
        <w:t xml:space="preserve"> om de vier samenwerkingsverbanden die op formeel wetsniveau zijn toegevoegd aan dit voorstel, in afzonderlijke, </w:t>
      </w:r>
      <w:r w:rsidR="00EC5998" w:rsidRPr="00EC5998">
        <w:rPr>
          <w:rFonts w:ascii="Times New Roman" w:hAnsi="Times New Roman" w:cs="Times New Roman"/>
          <w:b/>
        </w:rPr>
        <w:t xml:space="preserve">dan wel </w:t>
      </w:r>
      <w:r w:rsidRPr="00EC5998">
        <w:rPr>
          <w:rFonts w:ascii="Times New Roman" w:hAnsi="Times New Roman" w:cs="Times New Roman"/>
          <w:b/>
        </w:rPr>
        <w:t xml:space="preserve">sectorspecifieke wetgeving op te nemen teneinde de verregaande inbreuken die onder deze samenwerkingsverbanden </w:t>
      </w:r>
      <w:r w:rsidR="0009025E">
        <w:rPr>
          <w:rFonts w:ascii="Times New Roman" w:hAnsi="Times New Roman" w:cs="Times New Roman"/>
          <w:b/>
        </w:rPr>
        <w:t>mogelijk worden</w:t>
      </w:r>
      <w:r w:rsidRPr="00EC5998">
        <w:rPr>
          <w:rFonts w:ascii="Times New Roman" w:hAnsi="Times New Roman" w:cs="Times New Roman"/>
          <w:b/>
        </w:rPr>
        <w:t xml:space="preserve">, </w:t>
      </w:r>
      <w:r w:rsidR="00EC5998" w:rsidRPr="00EC5998">
        <w:rPr>
          <w:rFonts w:ascii="Times New Roman" w:hAnsi="Times New Roman" w:cs="Times New Roman"/>
          <w:b/>
        </w:rPr>
        <w:t>uitvoerig</w:t>
      </w:r>
      <w:r w:rsidRPr="00EC5998">
        <w:rPr>
          <w:rFonts w:ascii="Times New Roman" w:hAnsi="Times New Roman" w:cs="Times New Roman"/>
          <w:b/>
        </w:rPr>
        <w:t xml:space="preserve"> te kunnen beoordelen op noodzaak en proportionaliteit. </w:t>
      </w:r>
    </w:p>
    <w:p w:rsidR="00EC5998" w:rsidRDefault="00EC5998" w:rsidP="00EC5998">
      <w:pPr>
        <w:jc w:val="both"/>
        <w:rPr>
          <w:rFonts w:ascii="Times New Roman" w:hAnsi="Times New Roman" w:cs="Times New Roman"/>
        </w:rPr>
      </w:pPr>
      <w:r>
        <w:rPr>
          <w:rFonts w:ascii="Times New Roman" w:hAnsi="Times New Roman" w:cs="Times New Roman"/>
        </w:rPr>
        <w:t xml:space="preserve">Voor nadere toelichting op deze brief kunt u contact opnemen via </w:t>
      </w:r>
      <w:hyperlink r:id="rId10" w:history="1">
        <w:r w:rsidRPr="00E61B7C">
          <w:rPr>
            <w:rStyle w:val="Hyperlink"/>
            <w:rFonts w:ascii="Times New Roman" w:hAnsi="Times New Roman" w:cs="Times New Roman"/>
          </w:rPr>
          <w:t>tijmen@platformburgerrechten.nl</w:t>
        </w:r>
      </w:hyperlink>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Hoogachtend, </w:t>
      </w:r>
    </w:p>
    <w:p w:rsidR="000F2EDF" w:rsidRPr="006C18EE" w:rsidRDefault="00EC5998" w:rsidP="00EC5998">
      <w:pPr>
        <w:rPr>
          <w:rFonts w:ascii="Times New Roman" w:hAnsi="Times New Roman" w:cs="Times New Roman"/>
        </w:rPr>
      </w:pPr>
      <w:r>
        <w:rPr>
          <w:rFonts w:ascii="Times New Roman" w:hAnsi="Times New Roman" w:cs="Times New Roman"/>
        </w:rPr>
        <w:t>Tijmen Wisman</w:t>
      </w:r>
      <w:r>
        <w:rPr>
          <w:rFonts w:ascii="Times New Roman" w:hAnsi="Times New Roman" w:cs="Times New Roman"/>
        </w:rPr>
        <w:br/>
        <w:t>Voorzitter Platform Burgerrechten</w:t>
      </w:r>
    </w:p>
    <w:sectPr w:rsidR="000F2EDF" w:rsidRPr="006C18EE" w:rsidSect="000F2EDF">
      <w:pgSz w:w="11906" w:h="16838"/>
      <w:pgMar w:top="1417" w:right="1417" w:bottom="1417" w:left="1417" w:header="0" w:footer="0"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234949" w15:done="0"/>
  <w15:commentEx w15:paraId="2CBF531B" w15:done="0"/>
  <w15:commentEx w15:paraId="5A21E3CD" w15:done="0"/>
  <w15:commentEx w15:paraId="42E407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C84A" w16cex:dateUtc="2021-12-07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34949" w16cid:durableId="2559C3D6"/>
  <w16cid:commentId w16cid:paraId="2CBF531B" w16cid:durableId="2559C3D7"/>
  <w16cid:commentId w16cid:paraId="5A21E3CD" w16cid:durableId="2559C84A"/>
  <w16cid:commentId w16cid:paraId="42E407A1" w16cid:durableId="2559C3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36E" w:rsidRDefault="0086536E" w:rsidP="00B26686">
      <w:pPr>
        <w:spacing w:after="0" w:line="240" w:lineRule="auto"/>
      </w:pPr>
      <w:r>
        <w:separator/>
      </w:r>
    </w:p>
  </w:endnote>
  <w:endnote w:type="continuationSeparator" w:id="1">
    <w:p w:rsidR="0086536E" w:rsidRDefault="0086536E" w:rsidP="00B2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36E" w:rsidRDefault="0086536E" w:rsidP="00B26686">
      <w:pPr>
        <w:spacing w:after="0" w:line="240" w:lineRule="auto"/>
      </w:pPr>
      <w:r>
        <w:separator/>
      </w:r>
    </w:p>
  </w:footnote>
  <w:footnote w:type="continuationSeparator" w:id="1">
    <w:p w:rsidR="0086536E" w:rsidRDefault="0086536E" w:rsidP="00B26686">
      <w:pPr>
        <w:spacing w:after="0" w:line="240" w:lineRule="auto"/>
      </w:pPr>
      <w:r>
        <w:continuationSeparator/>
      </w:r>
    </w:p>
  </w:footnote>
  <w:footnote w:id="2">
    <w:p w:rsidR="00745693" w:rsidRDefault="00745693">
      <w:pPr>
        <w:pStyle w:val="FootnoteText"/>
      </w:pPr>
      <w:r>
        <w:rPr>
          <w:rStyle w:val="FootnoteReference"/>
        </w:rPr>
        <w:footnoteRef/>
      </w:r>
      <w:r>
        <w:t xml:space="preserve"> Zie ook de </w:t>
      </w:r>
      <w:hyperlink r:id="rId1" w:history="1">
        <w:r w:rsidRPr="00455981">
          <w:rPr>
            <w:rStyle w:val="Hyperlink"/>
          </w:rPr>
          <w:t>brief</w:t>
        </w:r>
      </w:hyperlink>
      <w:r>
        <w:t xml:space="preserve"> die de maatschappelijke coalitie tegen SyRI </w:t>
      </w:r>
      <w:r w:rsidR="00530007">
        <w:t>afgelopen</w:t>
      </w:r>
      <w:r>
        <w:t xml:space="preserve"> januari</w:t>
      </w:r>
      <w:r w:rsidR="00530007">
        <w:t xml:space="preserve"> </w:t>
      </w:r>
      <w:r>
        <w:t xml:space="preserve">aan de Eerste Kamercommissie </w:t>
      </w:r>
      <w:r w:rsidR="00455981">
        <w:t>Justitie en Veiligheid stuurde.</w:t>
      </w:r>
    </w:p>
  </w:footnote>
  <w:footnote w:id="3">
    <w:p w:rsidR="00FB0061" w:rsidRDefault="00FB0061">
      <w:pPr>
        <w:pStyle w:val="FootnoteText"/>
      </w:pPr>
      <w:r>
        <w:rPr>
          <w:rStyle w:val="FootnoteReference"/>
        </w:rPr>
        <w:footnoteRef/>
      </w:r>
      <w:r>
        <w:t xml:space="preserve"> Met ‘kaderwet’ </w:t>
      </w:r>
      <w:r w:rsidR="00745693">
        <w:t>wordt gedoeld op</w:t>
      </w:r>
      <w:r w:rsidR="000D3CDA">
        <w:t xml:space="preserve"> </w:t>
      </w:r>
      <w:r w:rsidR="00745693">
        <w:t xml:space="preserve">hoofdstuk 3 van het voorliggende voorstel, waarin de mogelijkheid wordt </w:t>
      </w:r>
      <w:r w:rsidR="00745693" w:rsidRPr="00455981">
        <w:rPr>
          <w:rFonts w:ascii="Calibri" w:hAnsi="Calibri" w:cs="Calibri"/>
          <w:shd w:val="clear" w:color="auto" w:fill="FFFFFF"/>
        </w:rPr>
        <w:t>gecreëerd</w:t>
      </w:r>
      <w:r w:rsidR="00745693">
        <w:t xml:space="preserve"> om per AMvB </w:t>
      </w:r>
      <w:r>
        <w:t>nieuwe samenwerkingsverbanden aan de wet</w:t>
      </w:r>
      <w:r w:rsidR="00745693">
        <w:t xml:space="preserve"> toe te voegen</w:t>
      </w:r>
      <w:r>
        <w:t xml:space="preserve">. </w:t>
      </w:r>
      <w:r w:rsidR="00995E1C">
        <w:t>Voor de nieuwe mogelijkheden om buiten het samenwerkingsverband resultaten te delen</w:t>
      </w:r>
      <w:r w:rsidR="00530007">
        <w:t>,</w:t>
      </w:r>
      <w:r w:rsidR="00995E1C">
        <w:t xml:space="preserve"> zie artikel 1.7 lid 2 WGS.</w:t>
      </w:r>
    </w:p>
  </w:footnote>
  <w:footnote w:id="4">
    <w:p w:rsidR="00B26686" w:rsidRDefault="00B26686">
      <w:pPr>
        <w:pStyle w:val="FootnoteText"/>
      </w:pPr>
      <w:r>
        <w:rPr>
          <w:rStyle w:val="FootnoteReference"/>
        </w:rPr>
        <w:footnoteRef/>
      </w:r>
      <w:r>
        <w:t xml:space="preserve"> Het Platform Burgerrechten </w:t>
      </w:r>
      <w:r w:rsidR="00600542">
        <w:t>heeft</w:t>
      </w:r>
      <w:r>
        <w:t xml:space="preserve"> in </w:t>
      </w:r>
      <w:r w:rsidR="00600542">
        <w:t>een brief aan de Tweede Kamer aangegeven waarom de eerdere fundamentele bezwaren van de Afdeling onvoldoende</w:t>
      </w:r>
      <w:r w:rsidR="00AB5CCC">
        <w:t xml:space="preserve"> </w:t>
      </w:r>
      <w:r w:rsidR="00600542">
        <w:t>zijn geadresseerd in het gewijzigde voorstel. Zie daarvoor ons</w:t>
      </w:r>
      <w:r w:rsidR="00BE5F67">
        <w:t xml:space="preserve"> </w:t>
      </w:r>
      <w:hyperlink r:id="rId2" w:history="1">
        <w:r w:rsidR="00455981" w:rsidRPr="00455981">
          <w:rPr>
            <w:rStyle w:val="Hyperlink"/>
          </w:rPr>
          <w:t>schrijven</w:t>
        </w:r>
      </w:hyperlink>
      <w:r w:rsidR="00455981">
        <w:t xml:space="preserve"> van 3 december 2020.</w:t>
      </w:r>
    </w:p>
  </w:footnote>
  <w:footnote w:id="5">
    <w:p w:rsidR="00971FBF" w:rsidRDefault="00971FBF" w:rsidP="005641AC">
      <w:pPr>
        <w:pStyle w:val="NoSpacing"/>
      </w:pPr>
      <w:r>
        <w:rPr>
          <w:rStyle w:val="FootnoteReference"/>
        </w:rPr>
        <w:footnoteRef/>
      </w:r>
      <w:r w:rsidR="00BE5F67">
        <w:rPr>
          <w:sz w:val="20"/>
          <w:szCs w:val="20"/>
        </w:rPr>
        <w:t xml:space="preserve"> </w:t>
      </w:r>
      <w:r w:rsidR="005641AC" w:rsidRPr="005641AC">
        <w:rPr>
          <w:sz w:val="20"/>
          <w:szCs w:val="20"/>
        </w:rPr>
        <w:t xml:space="preserve">Het </w:t>
      </w:r>
      <w:r w:rsidR="00305722">
        <w:rPr>
          <w:sz w:val="20"/>
          <w:szCs w:val="20"/>
        </w:rPr>
        <w:t>RIEC-LIEC</w:t>
      </w:r>
      <w:r w:rsidR="00BE5F67">
        <w:rPr>
          <w:sz w:val="20"/>
          <w:szCs w:val="20"/>
        </w:rPr>
        <w:t xml:space="preserve"> </w:t>
      </w:r>
      <w:hyperlink r:id="rId3" w:history="1">
        <w:r w:rsidR="005641AC" w:rsidRPr="00455981">
          <w:rPr>
            <w:rStyle w:val="Hyperlink"/>
            <w:sz w:val="20"/>
            <w:szCs w:val="20"/>
          </w:rPr>
          <w:t>stelde</w:t>
        </w:r>
      </w:hyperlink>
      <w:r w:rsidR="005641AC" w:rsidRPr="005641AC">
        <w:rPr>
          <w:sz w:val="20"/>
          <w:szCs w:val="20"/>
        </w:rPr>
        <w:t xml:space="preserve"> in reactie op het gewijzigde voorstel dat de vier samenwerkingsverbanden onder “stoom en kokend water”</w:t>
      </w:r>
      <w:r w:rsidR="00305722">
        <w:rPr>
          <w:sz w:val="20"/>
          <w:szCs w:val="20"/>
        </w:rPr>
        <w:t xml:space="preserve"> aan het </w:t>
      </w:r>
      <w:r w:rsidR="005641AC" w:rsidRPr="005641AC">
        <w:rPr>
          <w:sz w:val="20"/>
          <w:szCs w:val="20"/>
        </w:rPr>
        <w:t>voorstel zijn toegevoegd en dat de reactietermijn te kort was voor betrokken partijen om een inhoudelijke bespreking mogelijk te maken</w:t>
      </w:r>
      <w:r w:rsidR="00455981">
        <w:rPr>
          <w:rFonts w:ascii="Calibri" w:hAnsi="Calibri" w:cs="Calibri"/>
          <w:color w:val="383838"/>
          <w:sz w:val="20"/>
          <w:szCs w:val="20"/>
          <w:shd w:val="clear" w:color="auto" w:fill="FFFFFF"/>
        </w:rPr>
        <w:t>.</w:t>
      </w:r>
    </w:p>
  </w:footnote>
  <w:footnote w:id="6">
    <w:p w:rsidR="001C6B97" w:rsidRDefault="001C6B97">
      <w:pPr>
        <w:pStyle w:val="FootnoteText"/>
      </w:pPr>
      <w:r>
        <w:rPr>
          <w:rStyle w:val="FootnoteReference"/>
        </w:rPr>
        <w:footnoteRef/>
      </w:r>
      <w:r w:rsidR="00BE5F67">
        <w:t xml:space="preserve"> </w:t>
      </w:r>
      <w:r w:rsidR="007D5B0D">
        <w:t xml:space="preserve">Zie hiervoor onze eerdere </w:t>
      </w:r>
      <w:hyperlink r:id="rId4" w:history="1">
        <w:r w:rsidR="007D5B0D" w:rsidRPr="00455981">
          <w:rPr>
            <w:rStyle w:val="Hyperlink"/>
          </w:rPr>
          <w:t>brief</w:t>
        </w:r>
      </w:hyperlink>
      <w:r w:rsidR="007D5B0D">
        <w:t xml:space="preserve"> aan de T</w:t>
      </w:r>
      <w:r w:rsidR="00971FBF">
        <w:t xml:space="preserve">weede Kamer, pagina 3 onder de paragraaf </w:t>
      </w:r>
      <w:r w:rsidR="007D5B0D">
        <w:t>“Problematische wetsconstructie is een vlucht naar voren”</w:t>
      </w:r>
      <w:r w:rsidR="00455981">
        <w:t>.</w:t>
      </w:r>
    </w:p>
  </w:footnote>
  <w:footnote w:id="7">
    <w:p w:rsidR="00BE5F67" w:rsidRDefault="00BE5F67">
      <w:pPr>
        <w:pStyle w:val="FootnoteText"/>
      </w:pPr>
      <w:r>
        <w:rPr>
          <w:rStyle w:val="FootnoteReference"/>
        </w:rPr>
        <w:footnoteRef/>
      </w:r>
      <w:r>
        <w:t xml:space="preserve"> </w:t>
      </w:r>
      <w:r w:rsidR="0009025E">
        <w:t>Zie hiervoor</w:t>
      </w:r>
      <w:r w:rsidR="001D283F">
        <w:t xml:space="preserve"> de internetconsultatie die </w:t>
      </w:r>
      <w:r w:rsidR="0009025E">
        <w:t xml:space="preserve">in 2018 opende. Het oorspronkelijke voorstel voor de WGS behelsde uitsluitend een kaderwet, waaronder per AMvB samenwerkingsverbanden konden worden toegevoegd: </w:t>
      </w:r>
      <w:hyperlink r:id="rId5" w:history="1">
        <w:r w:rsidR="0009025E" w:rsidRPr="003612E7">
          <w:rPr>
            <w:rStyle w:val="Hyperlink"/>
          </w:rPr>
          <w:t>https://www.internetconsultatie.nl/wgs/document/3718</w:t>
        </w:r>
      </w:hyperlink>
      <w:r w:rsidR="0009025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B371B"/>
    <w:multiLevelType w:val="hybridMultilevel"/>
    <w:tmpl w:val="DE60C1B8"/>
    <w:lvl w:ilvl="0" w:tplc="FC7CD1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sman, T.H.A.">
    <w15:presenceInfo w15:providerId="AD" w15:userId="S::t.h.a.wisman@vu.nl::072ffa5b-8b8a-42c9-8143-b13954c517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425"/>
  <w:characterSpacingControl w:val="doNotCompress"/>
  <w:footnotePr>
    <w:footnote w:id="0"/>
    <w:footnote w:id="1"/>
  </w:footnotePr>
  <w:endnotePr>
    <w:endnote w:id="0"/>
    <w:endnote w:id="1"/>
  </w:endnotePr>
  <w:compat/>
  <w:rsids>
    <w:rsidRoot w:val="000F2EDF"/>
    <w:rsid w:val="000036A3"/>
    <w:rsid w:val="00006BEB"/>
    <w:rsid w:val="00014011"/>
    <w:rsid w:val="000310EA"/>
    <w:rsid w:val="00057CE7"/>
    <w:rsid w:val="0009025E"/>
    <w:rsid w:val="000D3CDA"/>
    <w:rsid w:val="000F2EDF"/>
    <w:rsid w:val="00123781"/>
    <w:rsid w:val="001738B0"/>
    <w:rsid w:val="0017612A"/>
    <w:rsid w:val="001C6B97"/>
    <w:rsid w:val="001D283F"/>
    <w:rsid w:val="001F02F0"/>
    <w:rsid w:val="001F7BBF"/>
    <w:rsid w:val="00220A6F"/>
    <w:rsid w:val="002625DE"/>
    <w:rsid w:val="00266979"/>
    <w:rsid w:val="002A7A50"/>
    <w:rsid w:val="00305722"/>
    <w:rsid w:val="00310942"/>
    <w:rsid w:val="003359FA"/>
    <w:rsid w:val="00365F7F"/>
    <w:rsid w:val="003A04C9"/>
    <w:rsid w:val="003D37A7"/>
    <w:rsid w:val="00455981"/>
    <w:rsid w:val="00473646"/>
    <w:rsid w:val="004A766D"/>
    <w:rsid w:val="004E5DE6"/>
    <w:rsid w:val="004F7378"/>
    <w:rsid w:val="00525072"/>
    <w:rsid w:val="00530007"/>
    <w:rsid w:val="005641AC"/>
    <w:rsid w:val="005B4877"/>
    <w:rsid w:val="005C5449"/>
    <w:rsid w:val="00600542"/>
    <w:rsid w:val="006048AA"/>
    <w:rsid w:val="00645A6C"/>
    <w:rsid w:val="006A13C6"/>
    <w:rsid w:val="006C18EE"/>
    <w:rsid w:val="006D7AD6"/>
    <w:rsid w:val="00745693"/>
    <w:rsid w:val="0076079D"/>
    <w:rsid w:val="007C529C"/>
    <w:rsid w:val="007D5B0D"/>
    <w:rsid w:val="0086536E"/>
    <w:rsid w:val="008801DE"/>
    <w:rsid w:val="008B3E82"/>
    <w:rsid w:val="008E642C"/>
    <w:rsid w:val="00971FBF"/>
    <w:rsid w:val="00995E1C"/>
    <w:rsid w:val="009B0EEE"/>
    <w:rsid w:val="009B1D2C"/>
    <w:rsid w:val="009E119B"/>
    <w:rsid w:val="00A2016F"/>
    <w:rsid w:val="00A555CD"/>
    <w:rsid w:val="00A73052"/>
    <w:rsid w:val="00AB5CCC"/>
    <w:rsid w:val="00AF6C55"/>
    <w:rsid w:val="00B26686"/>
    <w:rsid w:val="00B60CA6"/>
    <w:rsid w:val="00BD3687"/>
    <w:rsid w:val="00BE5F67"/>
    <w:rsid w:val="00BF1615"/>
    <w:rsid w:val="00C1475C"/>
    <w:rsid w:val="00C14E41"/>
    <w:rsid w:val="00C66F92"/>
    <w:rsid w:val="00C75546"/>
    <w:rsid w:val="00CC0E55"/>
    <w:rsid w:val="00CD1005"/>
    <w:rsid w:val="00D12DEF"/>
    <w:rsid w:val="00D3044E"/>
    <w:rsid w:val="00D33A51"/>
    <w:rsid w:val="00D33E90"/>
    <w:rsid w:val="00D4444E"/>
    <w:rsid w:val="00D95D6C"/>
    <w:rsid w:val="00DD629F"/>
    <w:rsid w:val="00E0420A"/>
    <w:rsid w:val="00EC5998"/>
    <w:rsid w:val="00F76E4A"/>
    <w:rsid w:val="00FB0061"/>
    <w:rsid w:val="00FB02DB"/>
    <w:rsid w:val="00FC7457"/>
    <w:rsid w:val="00FF1F42"/>
    <w:rsid w:val="00FF7B6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F0DF9"/>
    <w:rPr>
      <w:sz w:val="16"/>
      <w:szCs w:val="16"/>
    </w:rPr>
  </w:style>
  <w:style w:type="character" w:customStyle="1" w:styleId="CommentTextChar">
    <w:name w:val="Comment Text Char"/>
    <w:basedOn w:val="DefaultParagraphFont"/>
    <w:link w:val="CommentText"/>
    <w:uiPriority w:val="99"/>
    <w:semiHidden/>
    <w:qFormat/>
    <w:rsid w:val="007F0DF9"/>
    <w:rPr>
      <w:sz w:val="20"/>
      <w:szCs w:val="20"/>
    </w:rPr>
  </w:style>
  <w:style w:type="character" w:customStyle="1" w:styleId="CommentSubjectChar">
    <w:name w:val="Comment Subject Char"/>
    <w:basedOn w:val="CommentTextChar"/>
    <w:link w:val="CommentSubject"/>
    <w:uiPriority w:val="99"/>
    <w:semiHidden/>
    <w:qFormat/>
    <w:rsid w:val="007F0DF9"/>
    <w:rPr>
      <w:b/>
      <w:bCs/>
      <w:sz w:val="20"/>
      <w:szCs w:val="20"/>
    </w:rPr>
  </w:style>
  <w:style w:type="character" w:customStyle="1" w:styleId="Regelnummering">
    <w:name w:val="Regelnummering"/>
    <w:rsid w:val="000F2EDF"/>
  </w:style>
  <w:style w:type="paragraph" w:customStyle="1" w:styleId="Kop">
    <w:name w:val="Kop"/>
    <w:basedOn w:val="Normal"/>
    <w:next w:val="BodyText"/>
    <w:qFormat/>
    <w:rsid w:val="000F2EDF"/>
    <w:pPr>
      <w:keepNext/>
      <w:spacing w:before="240" w:after="120"/>
    </w:pPr>
    <w:rPr>
      <w:rFonts w:ascii="Liberation Sans" w:eastAsia="Microsoft YaHei" w:hAnsi="Liberation Sans" w:cs="Arial"/>
      <w:sz w:val="28"/>
      <w:szCs w:val="28"/>
    </w:rPr>
  </w:style>
  <w:style w:type="paragraph" w:styleId="BodyText">
    <w:name w:val="Body Text"/>
    <w:basedOn w:val="Normal"/>
    <w:rsid w:val="000F2EDF"/>
    <w:pPr>
      <w:spacing w:after="140" w:line="276" w:lineRule="auto"/>
    </w:pPr>
  </w:style>
  <w:style w:type="paragraph" w:styleId="List">
    <w:name w:val="List"/>
    <w:basedOn w:val="BodyText"/>
    <w:rsid w:val="000F2EDF"/>
    <w:rPr>
      <w:rFonts w:cs="Arial"/>
    </w:rPr>
  </w:style>
  <w:style w:type="paragraph" w:styleId="Caption">
    <w:name w:val="caption"/>
    <w:basedOn w:val="Normal"/>
    <w:qFormat/>
    <w:rsid w:val="000F2EDF"/>
    <w:pPr>
      <w:suppressLineNumbers/>
      <w:spacing w:before="120" w:after="120"/>
    </w:pPr>
    <w:rPr>
      <w:rFonts w:cs="Arial"/>
      <w:i/>
      <w:iCs/>
      <w:sz w:val="24"/>
      <w:szCs w:val="24"/>
    </w:rPr>
  </w:style>
  <w:style w:type="paragraph" w:customStyle="1" w:styleId="Index">
    <w:name w:val="Index"/>
    <w:basedOn w:val="Normal"/>
    <w:qFormat/>
    <w:rsid w:val="000F2EDF"/>
    <w:pPr>
      <w:suppressLineNumbers/>
    </w:pPr>
    <w:rPr>
      <w:rFonts w:cs="Arial"/>
    </w:rPr>
  </w:style>
  <w:style w:type="paragraph" w:styleId="CommentText">
    <w:name w:val="annotation text"/>
    <w:basedOn w:val="Normal"/>
    <w:link w:val="CommentTextChar"/>
    <w:uiPriority w:val="99"/>
    <w:semiHidden/>
    <w:unhideWhenUsed/>
    <w:qFormat/>
    <w:rsid w:val="007F0DF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F0DF9"/>
    <w:rPr>
      <w:b/>
      <w:bCs/>
    </w:rPr>
  </w:style>
  <w:style w:type="paragraph" w:styleId="BalloonText">
    <w:name w:val="Balloon Text"/>
    <w:basedOn w:val="Normal"/>
    <w:link w:val="BalloonTextChar"/>
    <w:uiPriority w:val="99"/>
    <w:semiHidden/>
    <w:unhideWhenUsed/>
    <w:rsid w:val="00B2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86"/>
    <w:rPr>
      <w:rFonts w:ascii="Tahoma" w:hAnsi="Tahoma" w:cs="Tahoma"/>
      <w:sz w:val="16"/>
      <w:szCs w:val="16"/>
    </w:rPr>
  </w:style>
  <w:style w:type="paragraph" w:styleId="FootnoteText">
    <w:name w:val="footnote text"/>
    <w:basedOn w:val="Normal"/>
    <w:link w:val="FootnoteTextChar"/>
    <w:uiPriority w:val="99"/>
    <w:semiHidden/>
    <w:unhideWhenUsed/>
    <w:rsid w:val="00B26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86"/>
    <w:rPr>
      <w:sz w:val="20"/>
      <w:szCs w:val="20"/>
    </w:rPr>
  </w:style>
  <w:style w:type="character" w:styleId="FootnoteReference">
    <w:name w:val="footnote reference"/>
    <w:basedOn w:val="DefaultParagraphFont"/>
    <w:uiPriority w:val="99"/>
    <w:semiHidden/>
    <w:unhideWhenUsed/>
    <w:rsid w:val="00B26686"/>
    <w:rPr>
      <w:vertAlign w:val="superscript"/>
    </w:rPr>
  </w:style>
  <w:style w:type="character" w:styleId="Hyperlink">
    <w:name w:val="Hyperlink"/>
    <w:basedOn w:val="DefaultParagraphFont"/>
    <w:uiPriority w:val="99"/>
    <w:unhideWhenUsed/>
    <w:rsid w:val="00600542"/>
    <w:rPr>
      <w:color w:val="0563C1" w:themeColor="hyperlink"/>
      <w:u w:val="single"/>
    </w:rPr>
  </w:style>
  <w:style w:type="paragraph" w:styleId="ListParagraph">
    <w:name w:val="List Paragraph"/>
    <w:basedOn w:val="Normal"/>
    <w:uiPriority w:val="34"/>
    <w:qFormat/>
    <w:rsid w:val="006D7AD6"/>
    <w:pPr>
      <w:ind w:left="720"/>
      <w:contextualSpacing/>
    </w:pPr>
  </w:style>
  <w:style w:type="paragraph" w:styleId="NoSpacing">
    <w:name w:val="No Spacing"/>
    <w:uiPriority w:val="1"/>
    <w:qFormat/>
    <w:rsid w:val="005641AC"/>
  </w:style>
  <w:style w:type="character" w:styleId="Strong">
    <w:name w:val="Strong"/>
    <w:basedOn w:val="DefaultParagraphFont"/>
    <w:uiPriority w:val="22"/>
    <w:qFormat/>
    <w:rsid w:val="00A7305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jmen@platformburgerrechten.nl" TargetMode="External"/><Relationship Id="rId4" Type="http://schemas.openxmlformats.org/officeDocument/2006/relationships/settings" Target="settings.xml"/><Relationship Id="rId9" Type="http://schemas.openxmlformats.org/officeDocument/2006/relationships/hyperlink" Target="mailto:postbus@eerstekamer.nl"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downloads/document?id=b3a9ecdf-655a-498f-b7fa-dbff2430d9e6&amp;title=Advies%20RIEC.pdf" TargetMode="External"/><Relationship Id="rId2" Type="http://schemas.openxmlformats.org/officeDocument/2006/relationships/hyperlink" Target="https://bijvoorbaatverdacht.nl/wp-content/uploads/2020/12/Brief-Platform-Burgerrechten-inzake-behandeling-wetsvoorstel-Gegevensverwerking-door-Samenwerkingsverbanden-3_12_2020.pdf" TargetMode="External"/><Relationship Id="rId1" Type="http://schemas.openxmlformats.org/officeDocument/2006/relationships/hyperlink" Target="https://bijvoorbaatverdacht.nl/wp-content/uploads/2021/01/Brief-SyRI-coalitie-aan-Eerste-Kamer-inzake-wetsvoorstel-Gegevensverwerking-door-Samenwerkingsverbanden-08012021.pdf" TargetMode="External"/><Relationship Id="rId5" Type="http://schemas.openxmlformats.org/officeDocument/2006/relationships/hyperlink" Target="https://www.internetconsultatie.nl/wgs/document/3718" TargetMode="External"/><Relationship Id="rId4" Type="http://schemas.openxmlformats.org/officeDocument/2006/relationships/hyperlink" Target="https://bijvoorbaatverdacht.nl/wp-content/uploads/2020/12/Brief-Platform-Burgerrechten-inzake-behandeling-wetsvoorstel-Gegevensverwerking-door-Samenwerkingsverbanden-3_12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F356-9D19-454A-9888-792B513E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1504</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Wisman, T.H.A.</dc:creator>
  <cp:lastModifiedBy>Ronald</cp:lastModifiedBy>
  <cp:revision>5</cp:revision>
  <dcterms:created xsi:type="dcterms:W3CDTF">2021-12-09T13:53:00Z</dcterms:created>
  <dcterms:modified xsi:type="dcterms:W3CDTF">2021-12-15T12:14:00Z</dcterms:modified>
  <dc:language>nl-NL</dc:language>
</cp:coreProperties>
</file>